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47ADC61F" w:rsidR="00712562" w:rsidRPr="00EE7300" w:rsidRDefault="00B6786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#111</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3A3BD2">
        <w:rPr>
          <w:rFonts w:ascii="Times New Roman" w:hAnsi="Times New Roman"/>
          <w:noProof w:val="0"/>
          <w:sz w:val="24"/>
          <w:szCs w:val="24"/>
          <w:lang w:val="en-US"/>
        </w:rPr>
        <w:t>R1-</w:t>
      </w:r>
      <w:r w:rsidR="001D3DF8" w:rsidRPr="003A3BD2">
        <w:rPr>
          <w:rFonts w:ascii="Times New Roman" w:hAnsi="Times New Roman"/>
          <w:noProof w:val="0"/>
          <w:sz w:val="24"/>
          <w:szCs w:val="24"/>
          <w:lang w:val="en-US"/>
        </w:rPr>
        <w:t>22</w:t>
      </w:r>
      <w:r w:rsidR="003A3BD2" w:rsidRPr="003A3BD2">
        <w:rPr>
          <w:rFonts w:ascii="Times New Roman" w:hAnsi="Times New Roman"/>
          <w:noProof w:val="0"/>
          <w:sz w:val="24"/>
          <w:szCs w:val="24"/>
          <w:lang w:val="en-US"/>
        </w:rPr>
        <w:t>12018</w:t>
      </w:r>
    </w:p>
    <w:p w14:paraId="75B68434" w14:textId="591E358E" w:rsidR="008F19D4" w:rsidRPr="00EE7300" w:rsidRDefault="00B6786F"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19361C">
        <w:rPr>
          <w:rFonts w:ascii="Times New Roman" w:hAnsi="Times New Roman"/>
          <w:bCs/>
          <w:noProof w:val="0"/>
          <w:sz w:val="24"/>
          <w:szCs w:val="24"/>
          <w:lang w:val="en-US"/>
        </w:rPr>
        <w:t>1</w:t>
      </w:r>
      <w:r>
        <w:rPr>
          <w:rFonts w:ascii="Times New Roman" w:hAnsi="Times New Roman"/>
          <w:bCs/>
          <w:noProof w:val="0"/>
          <w:sz w:val="24"/>
          <w:szCs w:val="24"/>
          <w:lang w:val="en-US"/>
        </w:rPr>
        <w:t>4</w:t>
      </w:r>
      <w:r w:rsidR="0019361C">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sidR="006E72CE">
        <w:rPr>
          <w:rFonts w:ascii="Times New Roman" w:hAnsi="Times New Roman"/>
          <w:bCs/>
          <w:noProof w:val="0"/>
          <w:sz w:val="24"/>
          <w:szCs w:val="24"/>
          <w:lang w:val="en-US"/>
        </w:rPr>
        <w:t>November</w:t>
      </w:r>
      <w:r w:rsidR="00133192">
        <w:rPr>
          <w:rFonts w:ascii="Times New Roman" w:hAnsi="Times New Roman"/>
          <w:bCs/>
          <w:noProof w:val="0"/>
          <w:sz w:val="24"/>
          <w:szCs w:val="24"/>
          <w:lang w:val="en-US"/>
        </w:rPr>
        <w:t xml:space="preserve"> </w:t>
      </w:r>
      <w:r w:rsidR="0019361C">
        <w:rPr>
          <w:rFonts w:ascii="Times New Roman" w:hAnsi="Times New Roman"/>
          <w:bCs/>
          <w:noProof w:val="0"/>
          <w:sz w:val="24"/>
          <w:szCs w:val="24"/>
          <w:lang w:val="en-US"/>
        </w:rPr>
        <w:t>1</w:t>
      </w:r>
      <w:r>
        <w:rPr>
          <w:rFonts w:ascii="Times New Roman" w:hAnsi="Times New Roman"/>
          <w:bCs/>
          <w:noProof w:val="0"/>
          <w:sz w:val="24"/>
          <w:szCs w:val="24"/>
          <w:lang w:val="en-US"/>
        </w:rPr>
        <w:t>8</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5ABA7986"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B6786F">
        <w:rPr>
          <w:sz w:val="24"/>
        </w:rPr>
        <w:t>8.1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4DD78233"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B6786F" w:rsidRPr="00B6786F">
        <w:rPr>
          <w:sz w:val="24"/>
          <w:szCs w:val="24"/>
        </w:rPr>
        <w:t>SRS CLPC for unified TCI framework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5EA579A5"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0D388F87" w14:textId="1CB3B041" w:rsidR="00B6786F" w:rsidRDefault="00C87981" w:rsidP="00B6786F">
      <w:pPr>
        <w:rPr>
          <w:lang w:eastAsia="ko-KR"/>
        </w:rPr>
      </w:pPr>
      <w:r>
        <w:rPr>
          <w:lang w:eastAsia="ko-KR"/>
        </w:rPr>
        <w:t>In RAN1#110b-e, the issue of how to determine the CLPC index for SRS when using the unified TCI framework was discussed. There was no consensus as document</w:t>
      </w:r>
      <w:r w:rsidR="006C4FA5">
        <w:rPr>
          <w:lang w:eastAsia="ko-KR"/>
        </w:rPr>
        <w:t>ed</w:t>
      </w:r>
      <w:r>
        <w:rPr>
          <w:lang w:eastAsia="ko-KR"/>
        </w:rPr>
        <w:t xml:space="preserve"> in </w:t>
      </w:r>
      <w:r>
        <w:rPr>
          <w:lang w:eastAsia="ko-KR"/>
        </w:rPr>
        <w:fldChar w:fldCharType="begin"/>
      </w:r>
      <w:r>
        <w:rPr>
          <w:lang w:eastAsia="ko-KR"/>
        </w:rPr>
        <w:instrText xml:space="preserve"> REF _Ref101557947 \r \h </w:instrText>
      </w:r>
      <w:r>
        <w:rPr>
          <w:lang w:eastAsia="ko-KR"/>
        </w:rPr>
      </w:r>
      <w:r>
        <w:rPr>
          <w:lang w:eastAsia="ko-KR"/>
        </w:rPr>
        <w:fldChar w:fldCharType="separate"/>
      </w:r>
      <w:r>
        <w:rPr>
          <w:lang w:eastAsia="ko-KR"/>
        </w:rPr>
        <w:t>[1]</w:t>
      </w:r>
      <w:r>
        <w:rPr>
          <w:lang w:eastAsia="ko-KR"/>
        </w:rPr>
        <w:fldChar w:fldCharType="end"/>
      </w:r>
      <w:r w:rsidR="008D4FE0">
        <w:rPr>
          <w:lang w:eastAsia="ko-KR"/>
        </w:rPr>
        <w:t>. The following options w</w:t>
      </w:r>
      <w:r>
        <w:rPr>
          <w:lang w:eastAsia="ko-KR"/>
        </w:rPr>
        <w:t xml:space="preserve">ere considered </w:t>
      </w:r>
      <w:r>
        <w:rPr>
          <w:lang w:eastAsia="ko-KR"/>
        </w:rPr>
        <w:fldChar w:fldCharType="begin"/>
      </w:r>
      <w:r>
        <w:rPr>
          <w:lang w:eastAsia="ko-KR"/>
        </w:rPr>
        <w:instrText xml:space="preserve"> REF _Ref101557947 \r \h </w:instrText>
      </w:r>
      <w:r>
        <w:rPr>
          <w:lang w:eastAsia="ko-KR"/>
        </w:rPr>
      </w:r>
      <w:r>
        <w:rPr>
          <w:lang w:eastAsia="ko-KR"/>
        </w:rPr>
        <w:fldChar w:fldCharType="separate"/>
      </w:r>
      <w:r>
        <w:rPr>
          <w:lang w:eastAsia="ko-KR"/>
        </w:rPr>
        <w:t>[1]</w:t>
      </w:r>
      <w:r>
        <w:rPr>
          <w:lang w:eastAsia="ko-KR"/>
        </w:rPr>
        <w:fldChar w:fldCharType="end"/>
      </w:r>
      <w:r>
        <w:rPr>
          <w:lang w:eastAsia="ko-KR"/>
        </w:rPr>
        <w:t>:</w:t>
      </w:r>
    </w:p>
    <w:tbl>
      <w:tblPr>
        <w:tblStyle w:val="TableGrid"/>
        <w:tblW w:w="0" w:type="auto"/>
        <w:tblLook w:val="04A0" w:firstRow="1" w:lastRow="0" w:firstColumn="1" w:lastColumn="0" w:noHBand="0" w:noVBand="1"/>
      </w:tblPr>
      <w:tblGrid>
        <w:gridCol w:w="9631"/>
      </w:tblGrid>
      <w:tr w:rsidR="00C87981" w:rsidRPr="00251B33" w14:paraId="5ADF32CA" w14:textId="77777777" w:rsidTr="00CF1C0E">
        <w:tc>
          <w:tcPr>
            <w:tcW w:w="9926" w:type="dxa"/>
          </w:tcPr>
          <w:p w14:paraId="0604D610" w14:textId="77777777" w:rsidR="00C87981" w:rsidRPr="00251B33" w:rsidRDefault="00C87981" w:rsidP="00CF1C0E">
            <w:pPr>
              <w:spacing w:after="0" w:line="360" w:lineRule="atLeast"/>
              <w:rPr>
                <w:rFonts w:eastAsia="Times New Roman"/>
                <w:color w:val="000000"/>
                <w:sz w:val="18"/>
                <w:szCs w:val="21"/>
                <w:lang w:eastAsia="zh-CN"/>
              </w:rPr>
            </w:pPr>
            <w:r w:rsidRPr="00251B33">
              <w:rPr>
                <w:rFonts w:eastAsia="Times New Roman"/>
                <w:color w:val="000000"/>
                <w:sz w:val="18"/>
                <w:szCs w:val="21"/>
                <w:lang w:eastAsia="zh-CN"/>
              </w:rPr>
              <w:t>Option-1: On SRS close loop in unified TCI framework, per serving cell</w:t>
            </w:r>
          </w:p>
          <w:p w14:paraId="0294E4B4" w14:textId="77777777" w:rsidR="00C87981" w:rsidRPr="00251B33" w:rsidRDefault="00C87981" w:rsidP="00C87981">
            <w:pPr>
              <w:pStyle w:val="ListParagraph"/>
              <w:numPr>
                <w:ilvl w:val="0"/>
                <w:numId w:val="47"/>
              </w:numPr>
              <w:spacing w:after="0" w:line="360" w:lineRule="atLeast"/>
              <w:contextualSpacing w:val="0"/>
              <w:rPr>
                <w:rFonts w:eastAsia="Times New Roman"/>
                <w:color w:val="000000"/>
                <w:sz w:val="18"/>
                <w:szCs w:val="21"/>
                <w:lang w:eastAsia="zh-CN"/>
              </w:rPr>
            </w:pPr>
            <w:r w:rsidRPr="00251B33">
              <w:rPr>
                <w:rFonts w:eastAsia="Times New Roman"/>
                <w:color w:val="000000"/>
                <w:sz w:val="18"/>
                <w:szCs w:val="21"/>
                <w:lang w:eastAsia="zh-CN"/>
              </w:rPr>
              <w:t>If </w:t>
            </w:r>
            <w:r w:rsidRPr="00251B33">
              <w:rPr>
                <w:rFonts w:eastAsia="Times New Roman"/>
                <w:i/>
                <w:color w:val="000000"/>
                <w:sz w:val="18"/>
                <w:szCs w:val="21"/>
                <w:lang w:eastAsia="zh-CN"/>
              </w:rPr>
              <w:t>PUSCH -config</w:t>
            </w:r>
            <w:r w:rsidRPr="00251B33">
              <w:rPr>
                <w:rFonts w:eastAsia="Times New Roman"/>
                <w:color w:val="000000"/>
                <w:sz w:val="18"/>
                <w:szCs w:val="21"/>
                <w:lang w:eastAsia="zh-CN"/>
              </w:rPr>
              <w:t> is configured, only 2 close loops for SRS are supported</w:t>
            </w:r>
          </w:p>
          <w:p w14:paraId="25168C68" w14:textId="77777777" w:rsidR="00C87981" w:rsidRPr="00251B33" w:rsidRDefault="00C87981" w:rsidP="00CF1C0E">
            <w:pPr>
              <w:spacing w:after="0" w:line="360" w:lineRule="atLeast"/>
              <w:ind w:left="1440"/>
              <w:rPr>
                <w:rFonts w:eastAsia="Times New Roman"/>
                <w:color w:val="000000"/>
                <w:sz w:val="18"/>
                <w:szCs w:val="21"/>
                <w:lang w:eastAsia="zh-CN"/>
              </w:rPr>
            </w:pPr>
            <w:r w:rsidRPr="00251B33">
              <w:rPr>
                <w:rFonts w:eastAsia="Times New Roman"/>
                <w:color w:val="000000"/>
                <w:sz w:val="18"/>
                <w:szCs w:val="21"/>
                <w:lang w:eastAsia="zh-CN"/>
              </w:rPr>
              <w:t>o</w:t>
            </w:r>
            <w:r w:rsidRPr="00251B33">
              <w:rPr>
                <w:rFonts w:eastAsia="Times New Roman"/>
                <w:color w:val="000000"/>
                <w:sz w:val="18"/>
                <w:szCs w:val="14"/>
                <w:lang w:eastAsia="zh-CN"/>
              </w:rPr>
              <w:t>   </w:t>
            </w:r>
            <w:r w:rsidRPr="00251B33">
              <w:rPr>
                <w:rFonts w:eastAsia="Times New Roman"/>
                <w:color w:val="000000"/>
                <w:sz w:val="18"/>
                <w:szCs w:val="21"/>
                <w:lang w:eastAsia="zh-CN"/>
              </w:rPr>
              <w:t>Candidate values of '</w:t>
            </w:r>
            <w:r w:rsidRPr="00251B33">
              <w:rPr>
                <w:rFonts w:eastAsia="Times New Roman"/>
                <w:i/>
                <w:color w:val="000000"/>
                <w:sz w:val="18"/>
                <w:szCs w:val="21"/>
                <w:lang w:eastAsia="zh-CN"/>
              </w:rPr>
              <w:t>i0</w:t>
            </w:r>
            <w:r w:rsidRPr="00251B33">
              <w:rPr>
                <w:rFonts w:eastAsia="Times New Roman"/>
                <w:color w:val="000000"/>
                <w:sz w:val="18"/>
                <w:szCs w:val="21"/>
                <w:lang w:eastAsia="zh-CN"/>
              </w:rPr>
              <w:t>' and '</w:t>
            </w:r>
            <w:r w:rsidRPr="00251B33">
              <w:rPr>
                <w:rFonts w:eastAsia="Times New Roman"/>
                <w:i/>
                <w:color w:val="000000"/>
                <w:sz w:val="18"/>
                <w:szCs w:val="21"/>
                <w:lang w:eastAsia="zh-CN"/>
              </w:rPr>
              <w:t>i1</w:t>
            </w:r>
            <w:r w:rsidRPr="00251B33">
              <w:rPr>
                <w:rFonts w:eastAsia="Times New Roman"/>
                <w:color w:val="000000"/>
                <w:sz w:val="18"/>
                <w:szCs w:val="21"/>
                <w:lang w:eastAsia="zh-CN"/>
              </w:rPr>
              <w:t>' in </w:t>
            </w:r>
            <w:r w:rsidRPr="00251B33">
              <w:rPr>
                <w:rFonts w:eastAsia="Times New Roman"/>
                <w:i/>
                <w:color w:val="000000"/>
                <w:sz w:val="18"/>
                <w:szCs w:val="21"/>
                <w:lang w:eastAsia="zh-CN"/>
              </w:rPr>
              <w:t>closedLoopIndex -r17</w:t>
            </w:r>
            <w:r w:rsidRPr="00251B33">
              <w:rPr>
                <w:rFonts w:eastAsia="Times New Roman"/>
                <w:color w:val="000000"/>
                <w:sz w:val="18"/>
                <w:szCs w:val="21"/>
                <w:lang w:eastAsia="zh-CN"/>
              </w:rPr>
              <w:t xml:space="preserve"> for SRS refers to first and second close loop;</w:t>
            </w:r>
          </w:p>
          <w:p w14:paraId="6D154267" w14:textId="77777777" w:rsidR="00C87981" w:rsidRPr="00251B33" w:rsidRDefault="00C87981" w:rsidP="00C87981">
            <w:pPr>
              <w:pStyle w:val="ListParagraph"/>
              <w:numPr>
                <w:ilvl w:val="0"/>
                <w:numId w:val="47"/>
              </w:numPr>
              <w:spacing w:after="0" w:line="360" w:lineRule="atLeast"/>
              <w:contextualSpacing w:val="0"/>
              <w:rPr>
                <w:rFonts w:eastAsia="Times New Roman"/>
                <w:color w:val="000000"/>
                <w:sz w:val="18"/>
                <w:szCs w:val="21"/>
                <w:lang w:eastAsia="zh-CN"/>
              </w:rPr>
            </w:pPr>
            <w:r w:rsidRPr="00251B33">
              <w:rPr>
                <w:rFonts w:eastAsiaTheme="minorEastAsia"/>
                <w:color w:val="000000"/>
                <w:sz w:val="18"/>
                <w:szCs w:val="21"/>
                <w:lang w:eastAsia="zh-CN"/>
              </w:rPr>
              <w:t>O</w:t>
            </w:r>
            <w:r w:rsidRPr="00251B33">
              <w:rPr>
                <w:rFonts w:eastAsia="Times New Roman"/>
                <w:color w:val="000000"/>
                <w:sz w:val="18"/>
                <w:szCs w:val="21"/>
                <w:lang w:eastAsia="zh-CN"/>
              </w:rPr>
              <w:t>therwise, only one close loop for SRS is supported</w:t>
            </w:r>
          </w:p>
          <w:p w14:paraId="63A16B57" w14:textId="77777777" w:rsidR="00C87981" w:rsidRPr="00251B33" w:rsidRDefault="00C87981" w:rsidP="00CF1C0E">
            <w:pPr>
              <w:spacing w:after="0" w:line="360" w:lineRule="atLeast"/>
              <w:ind w:left="1440"/>
              <w:rPr>
                <w:rFonts w:eastAsia="Times New Roman"/>
                <w:color w:val="000000"/>
                <w:sz w:val="18"/>
                <w:szCs w:val="21"/>
                <w:lang w:eastAsia="zh-CN"/>
              </w:rPr>
            </w:pPr>
            <w:r w:rsidRPr="00251B33">
              <w:rPr>
                <w:rFonts w:eastAsia="Times New Roman"/>
                <w:color w:val="000000"/>
                <w:sz w:val="18"/>
                <w:szCs w:val="21"/>
                <w:lang w:eastAsia="zh-CN"/>
              </w:rPr>
              <w:t> </w:t>
            </w:r>
          </w:p>
          <w:p w14:paraId="429FE79C" w14:textId="77777777" w:rsidR="00C87981" w:rsidRPr="00251B33" w:rsidRDefault="00C87981" w:rsidP="00CF1C0E">
            <w:pPr>
              <w:spacing w:after="0" w:line="360" w:lineRule="atLeast"/>
              <w:rPr>
                <w:rFonts w:eastAsia="Times New Roman"/>
                <w:color w:val="000000"/>
                <w:sz w:val="18"/>
                <w:szCs w:val="21"/>
                <w:lang w:eastAsia="zh-CN"/>
              </w:rPr>
            </w:pPr>
            <w:r w:rsidRPr="00251B33">
              <w:rPr>
                <w:rFonts w:eastAsia="Times New Roman"/>
                <w:color w:val="000000"/>
                <w:sz w:val="18"/>
                <w:szCs w:val="21"/>
                <w:lang w:eastAsia="zh-CN"/>
              </w:rPr>
              <w:t>Interpretation:</w:t>
            </w:r>
          </w:p>
          <w:p w14:paraId="0B8520F2" w14:textId="77777777" w:rsidR="00C87981" w:rsidRPr="00251B33" w:rsidRDefault="00C87981" w:rsidP="00C87981">
            <w:pPr>
              <w:pStyle w:val="ListParagraph"/>
              <w:numPr>
                <w:ilvl w:val="0"/>
                <w:numId w:val="47"/>
              </w:numPr>
              <w:spacing w:after="0" w:line="360" w:lineRule="atLeast"/>
              <w:contextualSpacing w:val="0"/>
              <w:rPr>
                <w:rFonts w:eastAsia="Times New Roman"/>
                <w:color w:val="000000"/>
                <w:sz w:val="18"/>
                <w:szCs w:val="21"/>
                <w:lang w:eastAsia="zh-CN"/>
              </w:rPr>
            </w:pPr>
            <w:r w:rsidRPr="00251B33">
              <w:rPr>
                <w:rFonts w:eastAsia="Times New Roman"/>
                <w:color w:val="000000"/>
                <w:sz w:val="18"/>
                <w:szCs w:val="21"/>
                <w:lang w:eastAsia="zh-CN"/>
              </w:rPr>
              <w:t>For the Case 1 that PUSCH is configured with i0 in a TCI state, and SRS is configured with i1 in the</w:t>
            </w:r>
            <w:r>
              <w:rPr>
                <w:rFonts w:eastAsia="Times New Roman"/>
                <w:color w:val="000000"/>
                <w:sz w:val="18"/>
                <w:szCs w:val="21"/>
                <w:lang w:eastAsia="zh-CN"/>
              </w:rPr>
              <w:t xml:space="preserve"> </w:t>
            </w:r>
            <w:r w:rsidRPr="00251B33">
              <w:rPr>
                <w:rFonts w:eastAsia="Times New Roman"/>
                <w:color w:val="000000"/>
                <w:sz w:val="18"/>
                <w:szCs w:val="21"/>
                <w:lang w:eastAsia="zh-CN"/>
              </w:rPr>
              <w:t>same TCI state, a DCI format 0_x would update the CLPC ID for PUSCH and/or SRS, depending on what is scheduled. If both PUSCH and SRS are scheduled, both closed loops would be updated.</w:t>
            </w:r>
          </w:p>
          <w:p w14:paraId="0D4D8C27" w14:textId="77777777" w:rsidR="00C87981" w:rsidRPr="00251B33" w:rsidRDefault="00C87981" w:rsidP="00C87981">
            <w:pPr>
              <w:pStyle w:val="ListParagraph"/>
              <w:numPr>
                <w:ilvl w:val="0"/>
                <w:numId w:val="47"/>
              </w:numPr>
              <w:spacing w:after="0" w:line="360" w:lineRule="atLeast"/>
              <w:contextualSpacing w:val="0"/>
              <w:rPr>
                <w:rFonts w:eastAsia="Times New Roman"/>
                <w:color w:val="000000"/>
                <w:sz w:val="18"/>
                <w:szCs w:val="21"/>
                <w:lang w:eastAsia="zh-CN"/>
              </w:rPr>
            </w:pPr>
            <w:r w:rsidRPr="00251B33">
              <w:rPr>
                <w:rFonts w:eastAsia="Times New Roman"/>
                <w:color w:val="000000"/>
                <w:sz w:val="18"/>
                <w:szCs w:val="21"/>
                <w:lang w:eastAsia="zh-CN"/>
              </w:rPr>
              <w:t xml:space="preserve">For the Case 2 that PUSCH is configured with i0 in a TCI state, and SRS is configured with i0 in the same TCI state, </w:t>
            </w:r>
            <w:r>
              <w:rPr>
                <w:rFonts w:eastAsia="Times New Roman"/>
                <w:color w:val="000000"/>
                <w:sz w:val="18"/>
                <w:szCs w:val="21"/>
                <w:lang w:eastAsia="zh-CN"/>
              </w:rPr>
              <w:t xml:space="preserve">a </w:t>
            </w:r>
            <w:r w:rsidRPr="00251B33">
              <w:rPr>
                <w:rFonts w:eastAsia="Times New Roman"/>
                <w:color w:val="000000"/>
                <w:sz w:val="18"/>
                <w:szCs w:val="21"/>
                <w:lang w:eastAsia="zh-CN"/>
              </w:rPr>
              <w:t>DCI format 0_x would update CLPC ID 0, irrespective of if PUSCH or SRS is scheduled</w:t>
            </w:r>
          </w:p>
          <w:p w14:paraId="73067C65" w14:textId="77777777" w:rsidR="00C87981" w:rsidRPr="00251B33" w:rsidRDefault="00C87981" w:rsidP="00C87981">
            <w:pPr>
              <w:pStyle w:val="ListParagraph"/>
              <w:numPr>
                <w:ilvl w:val="0"/>
                <w:numId w:val="47"/>
              </w:numPr>
              <w:spacing w:after="0" w:line="360" w:lineRule="atLeast"/>
              <w:contextualSpacing w:val="0"/>
              <w:rPr>
                <w:rFonts w:eastAsia="Times New Roman"/>
                <w:color w:val="000000"/>
                <w:sz w:val="18"/>
                <w:szCs w:val="21"/>
                <w:lang w:eastAsia="zh-CN"/>
              </w:rPr>
            </w:pPr>
            <w:r w:rsidRPr="00251B33">
              <w:rPr>
                <w:rFonts w:eastAsia="Times New Roman"/>
                <w:color w:val="000000"/>
                <w:sz w:val="18"/>
                <w:szCs w:val="21"/>
                <w:lang w:eastAsia="zh-CN"/>
              </w:rPr>
              <w:t>For the Case 3 that PUSCH is not configured in a CC, and SRS is configured with i0 in a TCI state, a DCI format 0_x would update CLPC ID 0 when SRS is scheduled</w:t>
            </w:r>
          </w:p>
        </w:tc>
      </w:tr>
      <w:tr w:rsidR="00C87981" w:rsidRPr="00251B33" w14:paraId="034EF78D" w14:textId="77777777" w:rsidTr="00CF1C0E">
        <w:tc>
          <w:tcPr>
            <w:tcW w:w="9926" w:type="dxa"/>
          </w:tcPr>
          <w:p w14:paraId="3FAC5237" w14:textId="77777777" w:rsidR="00C87981" w:rsidRPr="00251B33" w:rsidRDefault="00C87981" w:rsidP="00CF1C0E">
            <w:pPr>
              <w:spacing w:after="0" w:line="360" w:lineRule="atLeast"/>
              <w:rPr>
                <w:rFonts w:eastAsia="Times New Roman"/>
                <w:color w:val="000000"/>
                <w:sz w:val="18"/>
                <w:szCs w:val="21"/>
                <w:lang w:eastAsia="zh-CN"/>
              </w:rPr>
            </w:pPr>
            <w:r w:rsidRPr="00251B33">
              <w:rPr>
                <w:rFonts w:eastAsia="Times New Roman"/>
                <w:color w:val="000000"/>
                <w:sz w:val="18"/>
                <w:szCs w:val="21"/>
                <w:lang w:eastAsia="zh-CN"/>
              </w:rPr>
              <w:t>Option-2B (reusing existing parameter): On SRS close loop in unified TCI framework,</w:t>
            </w:r>
          </w:p>
          <w:p w14:paraId="50DAD1DC" w14:textId="77777777" w:rsidR="00C87981" w:rsidRPr="00251B33" w:rsidRDefault="00C87981" w:rsidP="00CF1C0E">
            <w:pPr>
              <w:spacing w:after="0" w:line="360" w:lineRule="atLeast"/>
              <w:ind w:left="720"/>
              <w:rPr>
                <w:rFonts w:eastAsia="Times New Roman"/>
                <w:color w:val="000000"/>
                <w:sz w:val="18"/>
                <w:szCs w:val="21"/>
                <w:lang w:eastAsia="zh-CN"/>
              </w:rPr>
            </w:pPr>
            <w:r w:rsidRPr="00251B33">
              <w:rPr>
                <w:rFonts w:eastAsia="Times New Roman"/>
                <w:color w:val="000000"/>
                <w:sz w:val="18"/>
                <w:szCs w:val="21"/>
                <w:lang w:eastAsia="zh-CN"/>
              </w:rPr>
              <w:t>-</w:t>
            </w:r>
            <w:r w:rsidRPr="00251B33">
              <w:rPr>
                <w:rFonts w:eastAsia="Times New Roman"/>
                <w:color w:val="000000"/>
                <w:sz w:val="18"/>
                <w:szCs w:val="14"/>
                <w:lang w:eastAsia="zh-CN"/>
              </w:rPr>
              <w:t>        </w:t>
            </w:r>
            <w:r w:rsidRPr="00251B33">
              <w:rPr>
                <w:rFonts w:eastAsia="Times New Roman"/>
                <w:color w:val="000000"/>
                <w:sz w:val="18"/>
                <w:szCs w:val="21"/>
                <w:lang w:eastAsia="zh-CN"/>
              </w:rPr>
              <w:t>If </w:t>
            </w:r>
            <w:r w:rsidRPr="00251B33">
              <w:rPr>
                <w:rFonts w:eastAsia="Times New Roman"/>
                <w:i/>
                <w:iCs/>
                <w:color w:val="000000"/>
                <w:sz w:val="18"/>
                <w:szCs w:val="21"/>
                <w:lang w:eastAsia="zh-CN"/>
              </w:rPr>
              <w:t>srs-PowerControlAdjustmentStates </w:t>
            </w:r>
            <w:r w:rsidRPr="00251B33">
              <w:rPr>
                <w:rFonts w:eastAsia="Times New Roman"/>
                <w:color w:val="000000"/>
                <w:sz w:val="18"/>
                <w:szCs w:val="21"/>
                <w:lang w:eastAsia="zh-CN"/>
              </w:rPr>
              <w:t>is set to '</w:t>
            </w:r>
            <w:r w:rsidRPr="00251B33">
              <w:rPr>
                <w:rFonts w:eastAsia="Times New Roman"/>
                <w:i/>
                <w:iCs/>
                <w:color w:val="000000"/>
                <w:sz w:val="18"/>
                <w:szCs w:val="21"/>
                <w:lang w:eastAsia="zh-CN"/>
              </w:rPr>
              <w:t>separateClosedLoop </w:t>
            </w:r>
            <w:r w:rsidRPr="00251B33">
              <w:rPr>
                <w:rFonts w:eastAsia="Times New Roman"/>
                <w:color w:val="000000"/>
                <w:sz w:val="18"/>
                <w:szCs w:val="21"/>
                <w:lang w:eastAsia="zh-CN"/>
              </w:rPr>
              <w:t>' in a SRS resource set, the SRS is associated with a separate close loop;</w:t>
            </w:r>
          </w:p>
          <w:p w14:paraId="75B1C281" w14:textId="77777777" w:rsidR="00C87981" w:rsidRPr="00251B33" w:rsidRDefault="00C87981" w:rsidP="00CF1C0E">
            <w:pPr>
              <w:spacing w:after="0" w:line="360" w:lineRule="atLeast"/>
              <w:ind w:left="720"/>
              <w:rPr>
                <w:rFonts w:eastAsia="Times New Roman"/>
                <w:color w:val="000000"/>
                <w:sz w:val="18"/>
                <w:szCs w:val="21"/>
                <w:lang w:eastAsia="zh-CN"/>
              </w:rPr>
            </w:pPr>
            <w:r w:rsidRPr="00251B33">
              <w:rPr>
                <w:rFonts w:eastAsia="Times New Roman"/>
                <w:color w:val="000000"/>
                <w:sz w:val="18"/>
                <w:szCs w:val="21"/>
                <w:lang w:eastAsia="zh-CN"/>
              </w:rPr>
              <w:t>-</w:t>
            </w:r>
            <w:r w:rsidRPr="00251B33">
              <w:rPr>
                <w:rFonts w:eastAsia="Times New Roman"/>
                <w:color w:val="000000"/>
                <w:sz w:val="18"/>
                <w:szCs w:val="14"/>
                <w:lang w:eastAsia="zh-CN"/>
              </w:rPr>
              <w:t>        </w:t>
            </w:r>
            <w:r w:rsidRPr="00251B33">
              <w:rPr>
                <w:rFonts w:eastAsia="Times New Roman"/>
                <w:color w:val="000000"/>
                <w:sz w:val="18"/>
                <w:szCs w:val="21"/>
                <w:lang w:eastAsia="zh-CN"/>
              </w:rPr>
              <w:t>Otherwise, </w:t>
            </w:r>
            <w:r w:rsidRPr="00251B33">
              <w:rPr>
                <w:rFonts w:eastAsia="Times New Roman"/>
                <w:i/>
                <w:iCs/>
                <w:color w:val="000000"/>
                <w:sz w:val="18"/>
                <w:szCs w:val="21"/>
                <w:lang w:eastAsia="zh-CN"/>
              </w:rPr>
              <w:t>closedLoopIndex -r17</w:t>
            </w:r>
            <w:r w:rsidRPr="00251B33">
              <w:rPr>
                <w:rFonts w:eastAsia="Times New Roman"/>
                <w:color w:val="000000"/>
                <w:sz w:val="18"/>
                <w:szCs w:val="21"/>
                <w:lang w:eastAsia="zh-CN"/>
              </w:rPr>
              <w:t> for SRS in a joint/UL-TCI state is to indicate a SRS close loop tied with PUSCH</w:t>
            </w:r>
          </w:p>
          <w:p w14:paraId="3F7FCA0C" w14:textId="77777777" w:rsidR="00C87981" w:rsidRPr="00251B33" w:rsidRDefault="00C87981" w:rsidP="00CF1C0E">
            <w:pPr>
              <w:spacing w:after="0" w:line="360" w:lineRule="atLeast"/>
              <w:ind w:left="1440"/>
              <w:rPr>
                <w:rFonts w:eastAsia="Times New Roman"/>
                <w:color w:val="000000"/>
                <w:sz w:val="18"/>
                <w:szCs w:val="21"/>
                <w:lang w:eastAsia="zh-CN"/>
              </w:rPr>
            </w:pPr>
            <w:r w:rsidRPr="00251B33">
              <w:rPr>
                <w:rFonts w:eastAsia="Times New Roman"/>
                <w:color w:val="000000"/>
                <w:sz w:val="18"/>
                <w:szCs w:val="21"/>
                <w:lang w:eastAsia="zh-CN"/>
              </w:rPr>
              <w:t>o</w:t>
            </w:r>
            <w:r w:rsidRPr="00251B33">
              <w:rPr>
                <w:rFonts w:eastAsia="Times New Roman"/>
                <w:color w:val="000000"/>
                <w:sz w:val="18"/>
                <w:szCs w:val="14"/>
                <w:lang w:eastAsia="zh-CN"/>
              </w:rPr>
              <w:t>   </w:t>
            </w:r>
            <w:r w:rsidRPr="00251B33">
              <w:rPr>
                <w:rFonts w:eastAsia="Times New Roman"/>
                <w:color w:val="000000"/>
                <w:sz w:val="18"/>
                <w:szCs w:val="21"/>
                <w:lang w:eastAsia="zh-CN"/>
              </w:rPr>
              <w:t>Note: In such case, candidate values of 'i0' and 'i1' in </w:t>
            </w:r>
            <w:r w:rsidRPr="00251B33">
              <w:rPr>
                <w:rFonts w:eastAsia="Times New Roman"/>
                <w:i/>
                <w:iCs/>
                <w:color w:val="000000"/>
                <w:sz w:val="18"/>
                <w:szCs w:val="21"/>
                <w:lang w:eastAsia="zh-CN"/>
              </w:rPr>
              <w:t>closedLoopIndex -r17</w:t>
            </w:r>
            <w:r w:rsidRPr="00251B33">
              <w:rPr>
                <w:rFonts w:eastAsia="Times New Roman"/>
                <w:color w:val="000000"/>
                <w:sz w:val="18"/>
                <w:szCs w:val="21"/>
                <w:lang w:eastAsia="zh-CN"/>
              </w:rPr>
              <w:t> for SRS refers to first and second close loop tied with PUSCH  </w:t>
            </w:r>
          </w:p>
          <w:p w14:paraId="2476F984" w14:textId="77777777" w:rsidR="00C87981" w:rsidRPr="00251B33" w:rsidRDefault="00C87981" w:rsidP="00CF1C0E">
            <w:pPr>
              <w:rPr>
                <w:sz w:val="18"/>
              </w:rPr>
            </w:pPr>
          </w:p>
        </w:tc>
      </w:tr>
    </w:tbl>
    <w:p w14:paraId="2C040768" w14:textId="2AC8ED54" w:rsidR="00C87981" w:rsidRDefault="00C87981" w:rsidP="00B6786F">
      <w:pPr>
        <w:rPr>
          <w:lang w:eastAsia="ko-KR"/>
        </w:rPr>
      </w:pPr>
    </w:p>
    <w:p w14:paraId="79456A68" w14:textId="1A992434" w:rsidR="00C87981" w:rsidRPr="00B6786F" w:rsidRDefault="00C87981" w:rsidP="00B6786F">
      <w:pPr>
        <w:rPr>
          <w:lang w:eastAsia="ko-KR"/>
        </w:rPr>
      </w:pPr>
      <w:r>
        <w:rPr>
          <w:lang w:eastAsia="ko-KR"/>
        </w:rPr>
        <w:t>In this document we present our views on how the SRS CLPC index should be determined.</w:t>
      </w:r>
    </w:p>
    <w:p w14:paraId="6D54B852" w14:textId="42404275"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73BBE5EB" w14:textId="092A4750" w:rsidR="00B22F19" w:rsidRPr="00B22F19" w:rsidRDefault="00B22F19" w:rsidP="00B22F19">
      <w:pPr>
        <w:rPr>
          <w:lang w:eastAsia="ko-KR"/>
        </w:rPr>
      </w:pPr>
      <w:r w:rsidRPr="00B22F19">
        <w:rPr>
          <w:lang w:eastAsia="ko-KR"/>
        </w:rPr>
        <w:t xml:space="preserve">SRS CLPC (SRS power control adjustment state) is described in TS 38.213 in clause 7.3.1 </w:t>
      </w:r>
      <w:r w:rsidRPr="00B22F19">
        <w:rPr>
          <w:lang w:eastAsia="ko-KR"/>
        </w:rPr>
        <w:fldChar w:fldCharType="begin"/>
      </w:r>
      <w:r w:rsidRPr="00B22F19">
        <w:rPr>
          <w:lang w:eastAsia="ko-KR"/>
        </w:rPr>
        <w:instrText xml:space="preserve"> REF _Ref118196095 \r \h </w:instrText>
      </w:r>
      <w:r>
        <w:rPr>
          <w:lang w:eastAsia="ko-KR"/>
        </w:rPr>
        <w:instrText xml:space="preserve"> \* MERGEFORMAT </w:instrText>
      </w:r>
      <w:r w:rsidRPr="00B22F19">
        <w:rPr>
          <w:lang w:eastAsia="ko-KR"/>
        </w:rPr>
      </w:r>
      <w:r w:rsidRPr="00B22F19">
        <w:rPr>
          <w:lang w:eastAsia="ko-KR"/>
        </w:rPr>
        <w:fldChar w:fldCharType="separate"/>
      </w:r>
      <w:r w:rsidRPr="00B22F19">
        <w:rPr>
          <w:lang w:eastAsia="ko-KR"/>
        </w:rPr>
        <w:t>[2]</w:t>
      </w:r>
      <w:r w:rsidRPr="00B22F19">
        <w:rPr>
          <w:lang w:eastAsia="ko-KR"/>
        </w:rPr>
        <w:fldChar w:fldCharType="end"/>
      </w:r>
      <w:r w:rsidRPr="00B22F19">
        <w:rPr>
          <w:lang w:eastAsia="ko-KR"/>
        </w:rPr>
        <w:t>. This text applies to both Rel-15/16 TCI spatial relation framework as well as the unified TCI framework.</w:t>
      </w:r>
    </w:p>
    <w:p w14:paraId="0A705B51" w14:textId="77777777" w:rsidR="00B22F19" w:rsidRDefault="00B22F19" w:rsidP="00B22F19">
      <w:pPr>
        <w:rPr>
          <w:rFonts w:ascii="Calibri" w:hAnsi="Calibri"/>
          <w:color w:val="1F497D"/>
          <w:sz w:val="22"/>
          <w:szCs w:val="22"/>
        </w:rPr>
      </w:pPr>
    </w:p>
    <w:p w14:paraId="4A43EF54" w14:textId="57D53F71" w:rsidR="00B22F19" w:rsidRDefault="00B22F19" w:rsidP="00B22F19">
      <w:pPr>
        <w:rPr>
          <w:rFonts w:ascii="Calibri" w:hAnsi="Calibri"/>
          <w:color w:val="1F497D"/>
          <w:sz w:val="22"/>
          <w:szCs w:val="22"/>
        </w:rPr>
      </w:pPr>
      <w:r>
        <w:rPr>
          <w:noProof/>
        </w:rPr>
        <w:lastRenderedPageBreak/>
        <mc:AlternateContent>
          <mc:Choice Requires="wps">
            <w:drawing>
              <wp:anchor distT="0" distB="0" distL="114300" distR="114300" simplePos="0" relativeHeight="251659264" behindDoc="0" locked="0" layoutInCell="1" allowOverlap="1" wp14:anchorId="2AEFBC73" wp14:editId="7CC4EB65">
                <wp:simplePos x="0" y="0"/>
                <wp:positionH relativeFrom="column">
                  <wp:posOffset>0</wp:posOffset>
                </wp:positionH>
                <wp:positionV relativeFrom="paragraph">
                  <wp:posOffset>0</wp:posOffset>
                </wp:positionV>
                <wp:extent cx="1828800" cy="1828800"/>
                <wp:effectExtent l="0" t="0" r="24765" b="1143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32DA6DE" w14:textId="77777777" w:rsidR="00B22F19" w:rsidRDefault="00B22F19" w:rsidP="00B22F19">
                            <w:pPr>
                              <w:pStyle w:val="B1"/>
                            </w:pPr>
                            <w:r>
                              <w:t>For the SRS</w:t>
                            </w:r>
                            <w:r>
                              <w:rPr>
                                <w:lang w:val="x-none"/>
                              </w:rPr>
                              <w:t xml:space="preserve"> power control adjustment state for </w:t>
                            </w:r>
                            <w:r>
                              <w:t>active UL BWP</w:t>
                            </w:r>
                            <m:oMath>
                              <m:r>
                                <w:rPr>
                                  <w:rFonts w:ascii="Cambria Math" w:hAnsi="Cambria Math"/>
                                  <w:lang w:val="x-none"/>
                                </w:rPr>
                                <m:t>b</m:t>
                              </m:r>
                            </m:oMath>
                            <w:r>
                              <w:rPr>
                                <w:lang w:val="x-none"/>
                              </w:rPr>
                              <w:t xml:space="preserve"> </w:t>
                            </w:r>
                            <w:r>
                              <w:t xml:space="preserve">of </w:t>
                            </w:r>
                            <w:r>
                              <w:rPr>
                                <w:lang w:val="x-none"/>
                              </w:rPr>
                              <w:t xml:space="preserve">carrier </w:t>
                            </w:r>
                            <m:oMath>
                              <m:r>
                                <w:rPr>
                                  <w:rFonts w:ascii="Cambria Math" w:hAnsi="Cambria Math"/>
                                  <w:lang w:val="x-none"/>
                                </w:rPr>
                                <m:t>f</m:t>
                              </m:r>
                            </m:oMath>
                            <w:r>
                              <w:rPr>
                                <w:lang w:val="x-none"/>
                              </w:rPr>
                              <w:t xml:space="preserve"> of serving cell </w:t>
                            </w:r>
                            <m:oMath>
                              <m:r>
                                <w:rPr>
                                  <w:rFonts w:ascii="Cambria Math" w:hAnsi="Cambria Math"/>
                                  <w:lang w:val="x-none"/>
                                </w:rPr>
                                <m:t>c</m:t>
                              </m:r>
                            </m:oMath>
                            <w:r>
                              <w:t xml:space="preserve"> and SRS transmission occasion</w:t>
                            </w:r>
                            <m:oMath>
                              <m:r>
                                <w:rPr>
                                  <w:rFonts w:ascii="Cambria Math" w:hAnsi="Cambria Math"/>
                                  <w:lang w:val="x-none"/>
                                </w:rPr>
                                <m:t>i</m:t>
                              </m:r>
                            </m:oMath>
                          </w:p>
                          <w:p w14:paraId="396792DA" w14:textId="77777777" w:rsidR="00B22F19" w:rsidRDefault="00B22F19" w:rsidP="00B22F19">
                            <w:pPr>
                              <w:pStyle w:val="B2"/>
                              <w:rPr>
                                <w:rFonts w:ascii="Calibri" w:hAnsi="Calibri"/>
                                <w:sz w:val="22"/>
                                <w:szCs w:val="22"/>
                                <w:lang w:val="x-none"/>
                              </w:rPr>
                            </w:pPr>
                            <w:r>
                              <w:rPr>
                                <w:lang w:val="x-none"/>
                              </w:rPr>
                              <w:t xml:space="preserve">-     </w:t>
                            </w:r>
                            <m:oMath>
                              <m:sSub>
                                <m:sSubPr>
                                  <m:ctrlPr>
                                    <w:rPr>
                                      <w:rFonts w:ascii="Cambria Math" w:eastAsiaTheme="minorHAnsi" w:hAnsi="Cambria Math" w:cs="Calibri"/>
                                      <w:i/>
                                      <w:iCs/>
                                      <w:sz w:val="22"/>
                                      <w:szCs w:val="22"/>
                                      <w:highlight w:val="cyan"/>
                                    </w:rPr>
                                  </m:ctrlPr>
                                </m:sSubPr>
                                <m:e>
                                  <m:r>
                                    <w:rPr>
                                      <w:rFonts w:ascii="Cambria Math" w:hAnsi="Cambria Math"/>
                                      <w:highlight w:val="cyan"/>
                                      <w:lang w:val="x-none"/>
                                    </w:rPr>
                                    <m:t>h</m:t>
                                  </m:r>
                                </m:e>
                                <m:sub>
                                  <m:r>
                                    <w:rPr>
                                      <w:rFonts w:ascii="Cambria Math" w:hAnsi="Cambria Math"/>
                                      <w:highlight w:val="cyan"/>
                                      <w:lang w:val="x-none"/>
                                    </w:rPr>
                                    <m:t>b,f,c</m:t>
                                  </m:r>
                                </m:sub>
                              </m:sSub>
                              <m:d>
                                <m:dPr>
                                  <m:ctrlPr>
                                    <w:rPr>
                                      <w:rFonts w:ascii="Cambria Math" w:eastAsiaTheme="minorHAnsi" w:hAnsi="Cambria Math" w:cs="Calibri"/>
                                      <w:i/>
                                      <w:iCs/>
                                      <w:sz w:val="22"/>
                                      <w:szCs w:val="22"/>
                                      <w:highlight w:val="cyan"/>
                                    </w:rPr>
                                  </m:ctrlPr>
                                </m:dPr>
                                <m:e>
                                  <m:r>
                                    <w:rPr>
                                      <w:rFonts w:ascii="Cambria Math" w:hAnsi="Cambria Math"/>
                                      <w:highlight w:val="cyan"/>
                                      <w:lang w:val="x-none"/>
                                    </w:rPr>
                                    <m:t>i,l</m:t>
                                  </m:r>
                                </m:e>
                              </m:d>
                              <m:r>
                                <w:rPr>
                                  <w:rFonts w:ascii="Cambria Math" w:hAnsi="Cambria Math"/>
                                  <w:highlight w:val="cyan"/>
                                  <w:lang w:val="x-none"/>
                                </w:rPr>
                                <m:t>=</m:t>
                              </m:r>
                              <m:sSub>
                                <m:sSubPr>
                                  <m:ctrlPr>
                                    <w:rPr>
                                      <w:rFonts w:ascii="Cambria Math" w:eastAsiaTheme="minorHAnsi" w:hAnsi="Cambria Math" w:cs="Calibri"/>
                                      <w:i/>
                                      <w:iCs/>
                                      <w:sz w:val="22"/>
                                      <w:szCs w:val="22"/>
                                      <w:highlight w:val="cyan"/>
                                    </w:rPr>
                                  </m:ctrlPr>
                                </m:sSubPr>
                                <m:e>
                                  <m:r>
                                    <w:rPr>
                                      <w:rFonts w:ascii="Cambria Math" w:hAnsi="Cambria Math"/>
                                      <w:highlight w:val="cyan"/>
                                      <w:lang w:val="x-none"/>
                                    </w:rPr>
                                    <m:t>f</m:t>
                                  </m:r>
                                </m:e>
                                <m:sub>
                                  <m:r>
                                    <w:rPr>
                                      <w:rFonts w:ascii="Cambria Math" w:hAnsi="Cambria Math"/>
                                      <w:highlight w:val="cyan"/>
                                      <w:lang w:val="x-none"/>
                                    </w:rPr>
                                    <m:t>b,f,c</m:t>
                                  </m:r>
                                </m:sub>
                              </m:sSub>
                              <m:d>
                                <m:dPr>
                                  <m:ctrlPr>
                                    <w:rPr>
                                      <w:rFonts w:ascii="Cambria Math" w:eastAsiaTheme="minorHAnsi" w:hAnsi="Cambria Math" w:cs="Calibri"/>
                                      <w:i/>
                                      <w:iCs/>
                                      <w:sz w:val="22"/>
                                      <w:szCs w:val="22"/>
                                      <w:highlight w:val="cyan"/>
                                    </w:rPr>
                                  </m:ctrlPr>
                                </m:dPr>
                                <m:e>
                                  <m:r>
                                    <w:rPr>
                                      <w:rFonts w:ascii="Cambria Math" w:hAnsi="Cambria Math"/>
                                      <w:highlight w:val="cyan"/>
                                      <w:lang w:val="x-none"/>
                                    </w:rPr>
                                    <m:t>i,l</m:t>
                                  </m:r>
                                </m:e>
                              </m:d>
                            </m:oMath>
                            <w:r>
                              <w:rPr>
                                <w:highlight w:val="cyan"/>
                                <w:lang w:val="x-none"/>
                              </w:rPr>
                              <w:t xml:space="preserve">, </w:t>
                            </w:r>
                            <w:r>
                              <w:rPr>
                                <w:highlight w:val="cyan"/>
                              </w:rPr>
                              <w:t xml:space="preserve">where </w:t>
                            </w:r>
                            <m:oMath>
                              <m:sSub>
                                <m:sSubPr>
                                  <m:ctrlPr>
                                    <w:rPr>
                                      <w:rFonts w:ascii="Cambria Math" w:eastAsiaTheme="minorHAnsi" w:hAnsi="Cambria Math" w:cs="Calibri"/>
                                      <w:i/>
                                      <w:iCs/>
                                      <w:sz w:val="22"/>
                                      <w:szCs w:val="22"/>
                                      <w:highlight w:val="cyan"/>
                                    </w:rPr>
                                  </m:ctrlPr>
                                </m:sSubPr>
                                <m:e>
                                  <m:r>
                                    <w:rPr>
                                      <w:rFonts w:ascii="Cambria Math" w:hAnsi="Cambria Math"/>
                                      <w:highlight w:val="cyan"/>
                                      <w:lang w:val="x-none"/>
                                    </w:rPr>
                                    <m:t>f</m:t>
                                  </m:r>
                                </m:e>
                                <m:sub>
                                  <m:r>
                                    <w:rPr>
                                      <w:rFonts w:ascii="Cambria Math" w:hAnsi="Cambria Math"/>
                                      <w:highlight w:val="cyan"/>
                                      <w:lang w:val="x-none"/>
                                    </w:rPr>
                                    <m:t>b,f,c</m:t>
                                  </m:r>
                                </m:sub>
                              </m:sSub>
                              <m:d>
                                <m:dPr>
                                  <m:ctrlPr>
                                    <w:rPr>
                                      <w:rFonts w:ascii="Cambria Math" w:eastAsiaTheme="minorHAnsi" w:hAnsi="Cambria Math" w:cs="Calibri"/>
                                      <w:i/>
                                      <w:iCs/>
                                      <w:sz w:val="22"/>
                                      <w:szCs w:val="22"/>
                                      <w:highlight w:val="cyan"/>
                                    </w:rPr>
                                  </m:ctrlPr>
                                </m:dPr>
                                <m:e>
                                  <m:r>
                                    <w:rPr>
                                      <w:rFonts w:ascii="Cambria Math" w:hAnsi="Cambria Math"/>
                                      <w:highlight w:val="cyan"/>
                                      <w:lang w:val="x-none"/>
                                    </w:rPr>
                                    <m:t>i,l</m:t>
                                  </m:r>
                                </m:e>
                              </m:d>
                            </m:oMath>
                            <w:r>
                              <w:rPr>
                                <w:highlight w:val="cyan"/>
                              </w:rPr>
                              <w:t xml:space="preserve"> is </w:t>
                            </w:r>
                            <w:r>
                              <w:rPr>
                                <w:highlight w:val="cyan"/>
                                <w:lang w:val="x-none"/>
                              </w:rPr>
                              <w:t>the current PUSCH power control adjustment state as described in clause</w:t>
                            </w:r>
                            <w:r>
                              <w:rPr>
                                <w:highlight w:val="cyan"/>
                              </w:rPr>
                              <w:t xml:space="preserve"> 7.1.1</w:t>
                            </w:r>
                            <w:r>
                              <w:rPr>
                                <w:highlight w:val="cyan"/>
                                <w:lang w:val="x-none"/>
                              </w:rPr>
                              <w:t xml:space="preserve">, if </w:t>
                            </w:r>
                            <w:r>
                              <w:rPr>
                                <w:i/>
                                <w:iCs/>
                                <w:highlight w:val="cyan"/>
                                <w:lang w:val="x-none"/>
                              </w:rPr>
                              <w:t>srs-PowerControlAdjustmentStates</w:t>
                            </w:r>
                            <w:r>
                              <w:rPr>
                                <w:highlight w:val="cyan"/>
                                <w:lang w:val="x-none"/>
                              </w:rPr>
                              <w:t xml:space="preserve"> indicates a same power control adjustment state for SRS transmissions and PUSCH transmissions</w:t>
                            </w:r>
                            <w:r>
                              <w:rPr>
                                <w:lang w:val="x-none"/>
                              </w:rPr>
                              <w:t>; or</w:t>
                            </w:r>
                          </w:p>
                          <w:p w14:paraId="557986F1" w14:textId="77777777" w:rsidR="00B22F19" w:rsidRDefault="00B22F19" w:rsidP="00B22F19">
                            <w:pPr>
                              <w:rPr>
                                <w:sz w:val="24"/>
                                <w:szCs w:val="24"/>
                              </w:rPr>
                            </w:pPr>
                            <w:r>
                              <w:t xml:space="preserve">-           </w:t>
                            </w:r>
                            <w:r>
                              <w:rPr>
                                <w:noProof/>
                                <w:position w:val="-24"/>
                              </w:rPr>
                              <w:drawing>
                                <wp:inline distT="0" distB="0" distL="0" distR="0" wp14:anchorId="42E3D832" wp14:editId="39E9C271">
                                  <wp:extent cx="2041525" cy="350520"/>
                                  <wp:effectExtent l="0" t="0" r="0" b="0"/>
                                  <wp:docPr id="2" name="Picture 2" descr="cid:image014.png@01D8E332.1200C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png@01D8E332.1200C56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41525" cy="350520"/>
                                          </a:xfrm>
                                          <a:prstGeom prst="rect">
                                            <a:avLst/>
                                          </a:prstGeom>
                                          <a:noFill/>
                                          <a:ln>
                                            <a:noFill/>
                                          </a:ln>
                                        </pic:spPr>
                                      </pic:pic>
                                    </a:graphicData>
                                  </a:graphic>
                                </wp:inline>
                              </w:drawing>
                            </w:r>
                            <w:r>
                              <w:rPr>
                                <w:highlight w:val="yellow"/>
                              </w:rPr>
                              <w:t xml:space="preserve">if the UE is not configured for PUSCH transmissions on active UL BWP </w:t>
                            </w:r>
                            <m:oMath>
                              <m:r>
                                <w:rPr>
                                  <w:rFonts w:ascii="Cambria Math" w:hAnsi="Cambria Math"/>
                                  <w:highlight w:val="yellow"/>
                                </w:rPr>
                                <m:t>b</m:t>
                              </m:r>
                            </m:oMath>
                            <w:r>
                              <w:rPr>
                                <w:highlight w:val="yellow"/>
                              </w:rPr>
                              <w:t xml:space="preserve"> of carrier </w:t>
                            </w:r>
                            <m:oMath>
                              <m:r>
                                <w:rPr>
                                  <w:rFonts w:ascii="Cambria Math" w:hAnsi="Cambria Math"/>
                                  <w:highlight w:val="yellow"/>
                                </w:rPr>
                                <m:t>f</m:t>
                              </m:r>
                            </m:oMath>
                            <w:r>
                              <w:rPr>
                                <w:highlight w:val="yellow"/>
                              </w:rPr>
                              <w:t xml:space="preserve"> of serving cell </w:t>
                            </w:r>
                            <m:oMath>
                              <m:r>
                                <w:rPr>
                                  <w:rFonts w:ascii="Cambria Math" w:hAnsi="Cambria Math"/>
                                  <w:highlight w:val="yellow"/>
                                </w:rPr>
                                <m:t>c</m:t>
                              </m:r>
                            </m:oMath>
                            <w:r>
                              <w:rPr>
                                <w:highlight w:val="yellow"/>
                              </w:rPr>
                              <w:t xml:space="preserve">, or if </w:t>
                            </w:r>
                            <w:r>
                              <w:rPr>
                                <w:i/>
                                <w:iCs/>
                                <w:highlight w:val="yellow"/>
                              </w:rPr>
                              <w:t>srs-PowerControlAdjustmentStates</w:t>
                            </w:r>
                            <w:r>
                              <w:rPr>
                                <w:highlight w:val="yellow"/>
                              </w:rPr>
                              <w:t xml:space="preserve"> indicates separate power control adjustment states between SRS transmissions and PUSCH transmissions, and if </w:t>
                            </w:r>
                            <w:r>
                              <w:rPr>
                                <w:i/>
                                <w:iCs/>
                                <w:highlight w:val="yellow"/>
                              </w:rPr>
                              <w:t>tpc-Accumulation</w:t>
                            </w:r>
                            <w:r>
                              <w:rPr>
                                <w:highlight w:val="yellow"/>
                              </w:rPr>
                              <w:t xml:space="preserve"> is not provided,</w:t>
                            </w:r>
                            <w:r>
                              <w:t xml:space="preserve"> where</w:t>
                            </w:r>
                          </w:p>
                          <w:p w14:paraId="323AABE9" w14:textId="77777777" w:rsidR="00B22F19" w:rsidRDefault="00B22F19" w:rsidP="00B22F19">
                            <w:r>
                              <w:t>…</w:t>
                            </w:r>
                          </w:p>
                          <w:p w14:paraId="0FE1D3C0" w14:textId="77777777" w:rsidR="00B22F19" w:rsidRDefault="00AD66E1" w:rsidP="00B22F19">
                            <w:pPr>
                              <w:pStyle w:val="ListParagraph"/>
                              <w:numPr>
                                <w:ilvl w:val="0"/>
                                <w:numId w:val="48"/>
                              </w:numPr>
                              <w:spacing w:after="0"/>
                              <w:contextualSpacing w:val="0"/>
                            </w:pPr>
                            <m:oMath>
                              <m:sSub>
                                <m:sSubPr>
                                  <m:ctrlPr>
                                    <w:rPr>
                                      <w:rFonts w:ascii="Cambria Math" w:eastAsia="SimSun" w:hAnsi="Cambria Math"/>
                                      <w:i/>
                                      <w:iCs/>
                                      <w:sz w:val="24"/>
                                      <w:szCs w:val="24"/>
                                      <w:highlight w:val="yellow"/>
                                    </w:rPr>
                                  </m:ctrlPr>
                                </m:sSubPr>
                                <m:e>
                                  <m:r>
                                    <w:rPr>
                                      <w:rFonts w:ascii="Cambria Math" w:hAnsi="Cambria Math"/>
                                      <w:highlight w:val="yellow"/>
                                    </w:rPr>
                                    <m:t>h</m:t>
                                  </m:r>
                                </m:e>
                                <m:sub>
                                  <m:r>
                                    <w:rPr>
                                      <w:rFonts w:ascii="Cambria Math" w:hAnsi="Cambria Math"/>
                                      <w:highlight w:val="yellow"/>
                                    </w:rPr>
                                    <m:t>b,f,c</m:t>
                                  </m:r>
                                </m:sub>
                              </m:sSub>
                              <m:r>
                                <w:rPr>
                                  <w:rFonts w:ascii="Cambria Math" w:hAnsi="Cambria Math"/>
                                  <w:highlight w:val="yellow"/>
                                </w:rPr>
                                <m:t>(i)=</m:t>
                              </m:r>
                              <m:sSub>
                                <m:sSubPr>
                                  <m:ctrlPr>
                                    <w:rPr>
                                      <w:rFonts w:ascii="Cambria Math" w:eastAsia="SimSun" w:hAnsi="Cambria Math"/>
                                      <w:i/>
                                      <w:iCs/>
                                      <w:sz w:val="24"/>
                                      <w:szCs w:val="24"/>
                                      <w:highlight w:val="yellow"/>
                                    </w:rPr>
                                  </m:ctrlPr>
                                </m:sSubPr>
                                <m:e>
                                  <m:r>
                                    <w:rPr>
                                      <w:rFonts w:ascii="Cambria Math" w:hAnsi="Cambria Math"/>
                                      <w:highlight w:val="yellow"/>
                                    </w:rPr>
                                    <m:t>δ</m:t>
                                  </m:r>
                                </m:e>
                                <m:sub>
                                  <m:r>
                                    <m:rPr>
                                      <m:sty m:val="p"/>
                                    </m:rPr>
                                    <w:rPr>
                                      <w:rFonts w:ascii="Cambria Math" w:hAnsi="Cambria Math"/>
                                      <w:highlight w:val="yellow"/>
                                    </w:rPr>
                                    <m:t>SRS</m:t>
                                  </m:r>
                                  <m:r>
                                    <w:rPr>
                                      <w:rFonts w:ascii="Cambria Math" w:hAnsi="Cambria Math"/>
                                      <w:highlight w:val="yellow"/>
                                    </w:rPr>
                                    <m:t>,b,f,c</m:t>
                                  </m:r>
                                </m:sub>
                              </m:sSub>
                              <m:r>
                                <w:rPr>
                                  <w:rFonts w:ascii="Cambria Math" w:hAnsi="Cambria Math"/>
                                  <w:highlight w:val="yellow"/>
                                </w:rPr>
                                <m:t>(i)</m:t>
                              </m:r>
                            </m:oMath>
                            <w:r w:rsidR="00B22F19">
                              <w:rPr>
                                <w:rFonts w:hint="eastAsia"/>
                                <w:highlight w:val="yellow"/>
                              </w:rPr>
                              <w:t xml:space="preserve"> if the UE is not configured for PUSCH transmissions on active UL BWP </w:t>
                            </w:r>
                            <m:oMath>
                              <m:r>
                                <w:rPr>
                                  <w:rFonts w:ascii="Cambria Math" w:hAnsi="Cambria Math"/>
                                  <w:highlight w:val="yellow"/>
                                </w:rPr>
                                <m:t>b</m:t>
                              </m:r>
                            </m:oMath>
                            <w:r w:rsidR="00B22F19">
                              <w:rPr>
                                <w:rFonts w:hint="eastAsia"/>
                                <w:highlight w:val="yellow"/>
                              </w:rPr>
                              <w:t xml:space="preserve"> of carrier </w:t>
                            </w:r>
                            <m:oMath>
                              <m:r>
                                <w:rPr>
                                  <w:rFonts w:ascii="Cambria Math" w:hAnsi="Cambria Math"/>
                                  <w:highlight w:val="yellow"/>
                                </w:rPr>
                                <m:t>f</m:t>
                              </m:r>
                            </m:oMath>
                            <w:r w:rsidR="00B22F19">
                              <w:rPr>
                                <w:rFonts w:hint="eastAsia"/>
                                <w:highlight w:val="yellow"/>
                              </w:rPr>
                              <w:t xml:space="preserve"> of serving cell </w:t>
                            </w:r>
                            <m:oMath>
                              <m:r>
                                <w:rPr>
                                  <w:rFonts w:ascii="Cambria Math" w:hAnsi="Cambria Math"/>
                                  <w:highlight w:val="yellow"/>
                                </w:rPr>
                                <m:t>c</m:t>
                              </m:r>
                            </m:oMath>
                            <w:r w:rsidR="00B22F19">
                              <w:rPr>
                                <w:rFonts w:hint="eastAsia"/>
                                <w:highlight w:val="yellow"/>
                              </w:rPr>
                              <w:t xml:space="preserve">, or if </w:t>
                            </w:r>
                            <w:r w:rsidR="00B22F19">
                              <w:rPr>
                                <w:rFonts w:hint="eastAsia"/>
                                <w:i/>
                                <w:iCs/>
                                <w:highlight w:val="yellow"/>
                              </w:rPr>
                              <w:t>srs-PowerControlAdjustmentStates</w:t>
                            </w:r>
                            <w:r w:rsidR="00B22F19">
                              <w:rPr>
                                <w:rFonts w:hint="eastAsia"/>
                                <w:highlight w:val="yellow"/>
                              </w:rPr>
                              <w:t xml:space="preserve"> indicates separate power control adjustment states between SRS transmissions and PUSCH transmissions, and </w:t>
                            </w:r>
                            <w:r w:rsidR="00B22F19">
                              <w:rPr>
                                <w:rFonts w:hint="eastAsia"/>
                                <w:i/>
                                <w:iCs/>
                                <w:highlight w:val="yellow"/>
                              </w:rPr>
                              <w:t>tpc-Accumulation</w:t>
                            </w:r>
                            <w:r w:rsidR="00B22F19">
                              <w:rPr>
                                <w:rFonts w:hint="eastAsia"/>
                                <w:highlight w:val="yellow"/>
                              </w:rPr>
                              <w:t xml:space="preserve"> is provided, and the UE detects a DCI format 2_3 </w:t>
                            </w:r>
                            <m:oMath>
                              <m:sSub>
                                <m:sSubPr>
                                  <m:ctrlPr>
                                    <w:rPr>
                                      <w:rFonts w:ascii="Cambria Math" w:eastAsia="SimSun" w:hAnsi="Cambria Math"/>
                                      <w:i/>
                                      <w:iCs/>
                                      <w:sz w:val="24"/>
                                      <w:szCs w:val="24"/>
                                      <w:highlight w:val="yellow"/>
                                    </w:rPr>
                                  </m:ctrlPr>
                                </m:sSubPr>
                                <m:e>
                                  <m:r>
                                    <w:rPr>
                                      <w:rFonts w:ascii="Cambria Math" w:hAnsi="Cambria Math"/>
                                      <w:highlight w:val="yellow"/>
                                    </w:rPr>
                                    <m:t>K</m:t>
                                  </m:r>
                                </m:e>
                                <m:sub>
                                  <m:r>
                                    <m:rPr>
                                      <m:sty m:val="p"/>
                                    </m:rPr>
                                    <w:rPr>
                                      <w:rFonts w:ascii="Cambria Math" w:hAnsi="Cambria Math"/>
                                      <w:highlight w:val="yellow"/>
                                    </w:rPr>
                                    <m:t>SRS,min</m:t>
                                  </m:r>
                                </m:sub>
                              </m:sSub>
                            </m:oMath>
                            <w:r w:rsidR="00B22F19">
                              <w:rPr>
                                <w:rFonts w:hint="eastAsia"/>
                                <w:highlight w:val="yellow"/>
                              </w:rPr>
                              <w:t xml:space="preserve"> symbols before a first symbol of SRS transmission occasion </w:t>
                            </w:r>
                            <m:oMath>
                              <m:r>
                                <w:rPr>
                                  <w:rFonts w:ascii="Cambria Math" w:hAnsi="Cambria Math"/>
                                  <w:highlight w:val="yellow"/>
                                </w:rPr>
                                <m:t>i</m:t>
                              </m:r>
                            </m:oMath>
                            <w:r w:rsidR="00B22F19">
                              <w:rPr>
                                <w:rFonts w:hint="eastAsia"/>
                                <w:highlight w:val="yellow"/>
                              </w:rPr>
                              <w:t>,</w:t>
                            </w:r>
                            <w:r w:rsidR="00B22F19">
                              <w:rPr>
                                <w:rFonts w:hint="eastAsia"/>
                              </w:rPr>
                              <w:t xml:space="preserve"> where absolute values of</w:t>
                            </w:r>
                            <m:oMath>
                              <m:sSub>
                                <m:sSubPr>
                                  <m:ctrlPr>
                                    <w:rPr>
                                      <w:rFonts w:ascii="Cambria Math" w:eastAsia="SimSun" w:hAnsi="Cambria Math"/>
                                      <w:i/>
                                      <w:iCs/>
                                      <w:sz w:val="24"/>
                                      <w:szCs w:val="24"/>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00B22F19">
                              <w:rPr>
                                <w:rFonts w:hint="eastAsia"/>
                              </w:rPr>
                              <w:t xml:space="preserve"> are provided in Table 7.1.1-1</w:t>
                            </w:r>
                          </w:p>
                          <w:p w14:paraId="658538E0" w14:textId="77777777" w:rsidR="00B22F19" w:rsidRPr="00A71C0C" w:rsidRDefault="00B22F19" w:rsidP="00A71C0C">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EFBC7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732DA6DE" w14:textId="77777777" w:rsidR="00B22F19" w:rsidRDefault="00B22F19" w:rsidP="00B22F19">
                      <w:pPr>
                        <w:pStyle w:val="B1"/>
                      </w:pPr>
                      <w:r>
                        <w:t>For the SRS</w:t>
                      </w:r>
                      <w:r>
                        <w:rPr>
                          <w:lang w:val="x-none"/>
                        </w:rPr>
                        <w:t xml:space="preserve"> power control adjustment state for </w:t>
                      </w:r>
                      <w:r>
                        <w:t>active UL BWP</w:t>
                      </w:r>
                      <m:oMath>
                        <m:r>
                          <w:rPr>
                            <w:rFonts w:ascii="Cambria Math" w:hAnsi="Cambria Math"/>
                            <w:lang w:val="x-none"/>
                          </w:rPr>
                          <m:t>b</m:t>
                        </m:r>
                      </m:oMath>
                      <w:r>
                        <w:rPr>
                          <w:lang w:val="x-none"/>
                        </w:rPr>
                        <w:t xml:space="preserve"> </w:t>
                      </w:r>
                      <w:r>
                        <w:t xml:space="preserve">of </w:t>
                      </w:r>
                      <w:r>
                        <w:rPr>
                          <w:lang w:val="x-none"/>
                        </w:rPr>
                        <w:t xml:space="preserve">carrier </w:t>
                      </w:r>
                      <m:oMath>
                        <m:r>
                          <w:rPr>
                            <w:rFonts w:ascii="Cambria Math" w:hAnsi="Cambria Math"/>
                            <w:lang w:val="x-none"/>
                          </w:rPr>
                          <m:t>f</m:t>
                        </m:r>
                      </m:oMath>
                      <w:r>
                        <w:rPr>
                          <w:lang w:val="x-none"/>
                        </w:rPr>
                        <w:t xml:space="preserve"> of serving cell </w:t>
                      </w:r>
                      <m:oMath>
                        <m:r>
                          <w:rPr>
                            <w:rFonts w:ascii="Cambria Math" w:hAnsi="Cambria Math"/>
                            <w:lang w:val="x-none"/>
                          </w:rPr>
                          <m:t>c</m:t>
                        </m:r>
                      </m:oMath>
                      <w:r>
                        <w:t xml:space="preserve"> and SRS transmission occasion</w:t>
                      </w:r>
                      <m:oMath>
                        <m:r>
                          <w:rPr>
                            <w:rFonts w:ascii="Cambria Math" w:hAnsi="Cambria Math"/>
                            <w:lang w:val="x-none"/>
                          </w:rPr>
                          <m:t>i</m:t>
                        </m:r>
                      </m:oMath>
                    </w:p>
                    <w:p w14:paraId="396792DA" w14:textId="77777777" w:rsidR="00B22F19" w:rsidRDefault="00B22F19" w:rsidP="00B22F19">
                      <w:pPr>
                        <w:pStyle w:val="B2"/>
                        <w:rPr>
                          <w:rFonts w:ascii="Calibri" w:hAnsi="Calibri"/>
                          <w:sz w:val="22"/>
                          <w:szCs w:val="22"/>
                          <w:lang w:val="x-none"/>
                        </w:rPr>
                      </w:pPr>
                      <w:r>
                        <w:rPr>
                          <w:lang w:val="x-none"/>
                        </w:rPr>
                        <w:t xml:space="preserve">-     </w:t>
                      </w:r>
                      <m:oMath>
                        <m:sSub>
                          <m:sSubPr>
                            <m:ctrlPr>
                              <w:rPr>
                                <w:rFonts w:ascii="Cambria Math" w:eastAsiaTheme="minorHAnsi" w:hAnsi="Cambria Math" w:cs="Calibri"/>
                                <w:i/>
                                <w:iCs/>
                                <w:sz w:val="22"/>
                                <w:szCs w:val="22"/>
                                <w:highlight w:val="cyan"/>
                              </w:rPr>
                            </m:ctrlPr>
                          </m:sSubPr>
                          <m:e>
                            <m:r>
                              <w:rPr>
                                <w:rFonts w:ascii="Cambria Math" w:hAnsi="Cambria Math"/>
                                <w:highlight w:val="cyan"/>
                                <w:lang w:val="x-none"/>
                              </w:rPr>
                              <m:t>h</m:t>
                            </m:r>
                          </m:e>
                          <m:sub>
                            <m:r>
                              <w:rPr>
                                <w:rFonts w:ascii="Cambria Math" w:hAnsi="Cambria Math"/>
                                <w:highlight w:val="cyan"/>
                                <w:lang w:val="x-none"/>
                              </w:rPr>
                              <m:t>b,f,c</m:t>
                            </m:r>
                          </m:sub>
                        </m:sSub>
                        <m:d>
                          <m:dPr>
                            <m:ctrlPr>
                              <w:rPr>
                                <w:rFonts w:ascii="Cambria Math" w:eastAsiaTheme="minorHAnsi" w:hAnsi="Cambria Math" w:cs="Calibri"/>
                                <w:i/>
                                <w:iCs/>
                                <w:sz w:val="22"/>
                                <w:szCs w:val="22"/>
                                <w:highlight w:val="cyan"/>
                              </w:rPr>
                            </m:ctrlPr>
                          </m:dPr>
                          <m:e>
                            <m:r>
                              <w:rPr>
                                <w:rFonts w:ascii="Cambria Math" w:hAnsi="Cambria Math"/>
                                <w:highlight w:val="cyan"/>
                                <w:lang w:val="x-none"/>
                              </w:rPr>
                              <m:t>i,l</m:t>
                            </m:r>
                          </m:e>
                        </m:d>
                        <m:r>
                          <w:rPr>
                            <w:rFonts w:ascii="Cambria Math" w:hAnsi="Cambria Math"/>
                            <w:highlight w:val="cyan"/>
                            <w:lang w:val="x-none"/>
                          </w:rPr>
                          <m:t>=</m:t>
                        </m:r>
                        <m:sSub>
                          <m:sSubPr>
                            <m:ctrlPr>
                              <w:rPr>
                                <w:rFonts w:ascii="Cambria Math" w:eastAsiaTheme="minorHAnsi" w:hAnsi="Cambria Math" w:cs="Calibri"/>
                                <w:i/>
                                <w:iCs/>
                                <w:sz w:val="22"/>
                                <w:szCs w:val="22"/>
                                <w:highlight w:val="cyan"/>
                              </w:rPr>
                            </m:ctrlPr>
                          </m:sSubPr>
                          <m:e>
                            <m:r>
                              <w:rPr>
                                <w:rFonts w:ascii="Cambria Math" w:hAnsi="Cambria Math"/>
                                <w:highlight w:val="cyan"/>
                                <w:lang w:val="x-none"/>
                              </w:rPr>
                              <m:t>f</m:t>
                            </m:r>
                          </m:e>
                          <m:sub>
                            <m:r>
                              <w:rPr>
                                <w:rFonts w:ascii="Cambria Math" w:hAnsi="Cambria Math"/>
                                <w:highlight w:val="cyan"/>
                                <w:lang w:val="x-none"/>
                              </w:rPr>
                              <m:t>b,f,c</m:t>
                            </m:r>
                          </m:sub>
                        </m:sSub>
                        <m:d>
                          <m:dPr>
                            <m:ctrlPr>
                              <w:rPr>
                                <w:rFonts w:ascii="Cambria Math" w:eastAsiaTheme="minorHAnsi" w:hAnsi="Cambria Math" w:cs="Calibri"/>
                                <w:i/>
                                <w:iCs/>
                                <w:sz w:val="22"/>
                                <w:szCs w:val="22"/>
                                <w:highlight w:val="cyan"/>
                              </w:rPr>
                            </m:ctrlPr>
                          </m:dPr>
                          <m:e>
                            <m:r>
                              <w:rPr>
                                <w:rFonts w:ascii="Cambria Math" w:hAnsi="Cambria Math"/>
                                <w:highlight w:val="cyan"/>
                                <w:lang w:val="x-none"/>
                              </w:rPr>
                              <m:t>i,l</m:t>
                            </m:r>
                          </m:e>
                        </m:d>
                      </m:oMath>
                      <w:r>
                        <w:rPr>
                          <w:highlight w:val="cyan"/>
                          <w:lang w:val="x-none"/>
                        </w:rPr>
                        <w:t xml:space="preserve">, </w:t>
                      </w:r>
                      <w:r>
                        <w:rPr>
                          <w:highlight w:val="cyan"/>
                        </w:rPr>
                        <w:t xml:space="preserve">where </w:t>
                      </w:r>
                      <m:oMath>
                        <m:sSub>
                          <m:sSubPr>
                            <m:ctrlPr>
                              <w:rPr>
                                <w:rFonts w:ascii="Cambria Math" w:eastAsiaTheme="minorHAnsi" w:hAnsi="Cambria Math" w:cs="Calibri"/>
                                <w:i/>
                                <w:iCs/>
                                <w:sz w:val="22"/>
                                <w:szCs w:val="22"/>
                                <w:highlight w:val="cyan"/>
                              </w:rPr>
                            </m:ctrlPr>
                          </m:sSubPr>
                          <m:e>
                            <m:r>
                              <w:rPr>
                                <w:rFonts w:ascii="Cambria Math" w:hAnsi="Cambria Math"/>
                                <w:highlight w:val="cyan"/>
                                <w:lang w:val="x-none"/>
                              </w:rPr>
                              <m:t>f</m:t>
                            </m:r>
                          </m:e>
                          <m:sub>
                            <m:r>
                              <w:rPr>
                                <w:rFonts w:ascii="Cambria Math" w:hAnsi="Cambria Math"/>
                                <w:highlight w:val="cyan"/>
                                <w:lang w:val="x-none"/>
                              </w:rPr>
                              <m:t>b,f,c</m:t>
                            </m:r>
                          </m:sub>
                        </m:sSub>
                        <m:d>
                          <m:dPr>
                            <m:ctrlPr>
                              <w:rPr>
                                <w:rFonts w:ascii="Cambria Math" w:eastAsiaTheme="minorHAnsi" w:hAnsi="Cambria Math" w:cs="Calibri"/>
                                <w:i/>
                                <w:iCs/>
                                <w:sz w:val="22"/>
                                <w:szCs w:val="22"/>
                                <w:highlight w:val="cyan"/>
                              </w:rPr>
                            </m:ctrlPr>
                          </m:dPr>
                          <m:e>
                            <m:r>
                              <w:rPr>
                                <w:rFonts w:ascii="Cambria Math" w:hAnsi="Cambria Math"/>
                                <w:highlight w:val="cyan"/>
                                <w:lang w:val="x-none"/>
                              </w:rPr>
                              <m:t>i,l</m:t>
                            </m:r>
                          </m:e>
                        </m:d>
                      </m:oMath>
                      <w:r>
                        <w:rPr>
                          <w:highlight w:val="cyan"/>
                        </w:rPr>
                        <w:t xml:space="preserve"> is </w:t>
                      </w:r>
                      <w:r>
                        <w:rPr>
                          <w:highlight w:val="cyan"/>
                          <w:lang w:val="x-none"/>
                        </w:rPr>
                        <w:t>the current PUSCH power control adjustment state as described in clause</w:t>
                      </w:r>
                      <w:r>
                        <w:rPr>
                          <w:highlight w:val="cyan"/>
                        </w:rPr>
                        <w:t xml:space="preserve"> 7.1.1</w:t>
                      </w:r>
                      <w:r>
                        <w:rPr>
                          <w:highlight w:val="cyan"/>
                          <w:lang w:val="x-none"/>
                        </w:rPr>
                        <w:t xml:space="preserve">, if </w:t>
                      </w:r>
                      <w:r>
                        <w:rPr>
                          <w:i/>
                          <w:iCs/>
                          <w:highlight w:val="cyan"/>
                          <w:lang w:val="x-none"/>
                        </w:rPr>
                        <w:t>srs-PowerControlAdjustmentStates</w:t>
                      </w:r>
                      <w:r>
                        <w:rPr>
                          <w:highlight w:val="cyan"/>
                          <w:lang w:val="x-none"/>
                        </w:rPr>
                        <w:t xml:space="preserve"> indicates a same power control adjustment state for SRS transmissions and PUSCH transmissions</w:t>
                      </w:r>
                      <w:r>
                        <w:rPr>
                          <w:lang w:val="x-none"/>
                        </w:rPr>
                        <w:t>; or</w:t>
                      </w:r>
                    </w:p>
                    <w:p w14:paraId="557986F1" w14:textId="77777777" w:rsidR="00B22F19" w:rsidRDefault="00B22F19" w:rsidP="00B22F19">
                      <w:pPr>
                        <w:rPr>
                          <w:sz w:val="24"/>
                          <w:szCs w:val="24"/>
                        </w:rPr>
                      </w:pPr>
                      <w:r>
                        <w:t xml:space="preserve">-           </w:t>
                      </w:r>
                      <w:r>
                        <w:rPr>
                          <w:noProof/>
                          <w:position w:val="-24"/>
                        </w:rPr>
                        <w:drawing>
                          <wp:inline distT="0" distB="0" distL="0" distR="0" wp14:anchorId="42E3D832" wp14:editId="39E9C271">
                            <wp:extent cx="2041525" cy="350520"/>
                            <wp:effectExtent l="0" t="0" r="0" b="0"/>
                            <wp:docPr id="2" name="Picture 2" descr="cid:image014.png@01D8E332.1200C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png@01D8E332.1200C5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041525" cy="350520"/>
                                    </a:xfrm>
                                    <a:prstGeom prst="rect">
                                      <a:avLst/>
                                    </a:prstGeom>
                                    <a:noFill/>
                                    <a:ln>
                                      <a:noFill/>
                                    </a:ln>
                                  </pic:spPr>
                                </pic:pic>
                              </a:graphicData>
                            </a:graphic>
                          </wp:inline>
                        </w:drawing>
                      </w:r>
                      <w:r>
                        <w:rPr>
                          <w:highlight w:val="yellow"/>
                        </w:rPr>
                        <w:t xml:space="preserve">if the UE is not configured for PUSCH transmissions on active UL BWP </w:t>
                      </w:r>
                      <m:oMath>
                        <m:r>
                          <w:rPr>
                            <w:rFonts w:ascii="Cambria Math" w:hAnsi="Cambria Math"/>
                            <w:highlight w:val="yellow"/>
                          </w:rPr>
                          <m:t>b</m:t>
                        </m:r>
                      </m:oMath>
                      <w:r>
                        <w:rPr>
                          <w:highlight w:val="yellow"/>
                        </w:rPr>
                        <w:t xml:space="preserve"> of carrier </w:t>
                      </w:r>
                      <m:oMath>
                        <m:r>
                          <w:rPr>
                            <w:rFonts w:ascii="Cambria Math" w:hAnsi="Cambria Math"/>
                            <w:highlight w:val="yellow"/>
                          </w:rPr>
                          <m:t>f</m:t>
                        </m:r>
                      </m:oMath>
                      <w:r>
                        <w:rPr>
                          <w:highlight w:val="yellow"/>
                        </w:rPr>
                        <w:t xml:space="preserve"> of serving cell </w:t>
                      </w:r>
                      <m:oMath>
                        <m:r>
                          <w:rPr>
                            <w:rFonts w:ascii="Cambria Math" w:hAnsi="Cambria Math"/>
                            <w:highlight w:val="yellow"/>
                          </w:rPr>
                          <m:t>c</m:t>
                        </m:r>
                      </m:oMath>
                      <w:r>
                        <w:rPr>
                          <w:highlight w:val="yellow"/>
                        </w:rPr>
                        <w:t xml:space="preserve">, or if </w:t>
                      </w:r>
                      <w:r>
                        <w:rPr>
                          <w:i/>
                          <w:iCs/>
                          <w:highlight w:val="yellow"/>
                        </w:rPr>
                        <w:t>srs-PowerControlAdjustmentStates</w:t>
                      </w:r>
                      <w:r>
                        <w:rPr>
                          <w:highlight w:val="yellow"/>
                        </w:rPr>
                        <w:t xml:space="preserve"> indicates separate power control adjustment states between SRS transmissions and PUSCH transmissions, and if </w:t>
                      </w:r>
                      <w:r>
                        <w:rPr>
                          <w:i/>
                          <w:iCs/>
                          <w:highlight w:val="yellow"/>
                        </w:rPr>
                        <w:t>tpc-Accumulation</w:t>
                      </w:r>
                      <w:r>
                        <w:rPr>
                          <w:highlight w:val="yellow"/>
                        </w:rPr>
                        <w:t xml:space="preserve"> is not provided,</w:t>
                      </w:r>
                      <w:r>
                        <w:t xml:space="preserve"> where</w:t>
                      </w:r>
                    </w:p>
                    <w:p w14:paraId="323AABE9" w14:textId="77777777" w:rsidR="00B22F19" w:rsidRDefault="00B22F19" w:rsidP="00B22F19">
                      <w:r>
                        <w:t>…</w:t>
                      </w:r>
                    </w:p>
                    <w:p w14:paraId="0FE1D3C0" w14:textId="77777777" w:rsidR="00B22F19" w:rsidRDefault="00B22F19" w:rsidP="00B22F19">
                      <w:pPr>
                        <w:pStyle w:val="ListParagraph"/>
                        <w:numPr>
                          <w:ilvl w:val="0"/>
                          <w:numId w:val="48"/>
                        </w:numPr>
                        <w:spacing w:after="0"/>
                        <w:contextualSpacing w:val="0"/>
                      </w:pPr>
                      <m:oMath>
                        <m:sSub>
                          <m:sSubPr>
                            <m:ctrlPr>
                              <w:rPr>
                                <w:rFonts w:ascii="Cambria Math" w:eastAsia="SimSun" w:hAnsi="Cambria Math"/>
                                <w:i/>
                                <w:iCs/>
                                <w:sz w:val="24"/>
                                <w:szCs w:val="24"/>
                                <w:highlight w:val="yellow"/>
                              </w:rPr>
                            </m:ctrlPr>
                          </m:sSubPr>
                          <m:e>
                            <m:r>
                              <w:rPr>
                                <w:rFonts w:ascii="Cambria Math" w:hAnsi="Cambria Math"/>
                                <w:highlight w:val="yellow"/>
                              </w:rPr>
                              <m:t>h</m:t>
                            </m:r>
                          </m:e>
                          <m:sub>
                            <m:r>
                              <w:rPr>
                                <w:rFonts w:ascii="Cambria Math" w:hAnsi="Cambria Math"/>
                                <w:highlight w:val="yellow"/>
                              </w:rPr>
                              <m:t>b,f,c</m:t>
                            </m:r>
                          </m:sub>
                        </m:sSub>
                        <m:r>
                          <w:rPr>
                            <w:rFonts w:ascii="Cambria Math" w:hAnsi="Cambria Math"/>
                            <w:highlight w:val="yellow"/>
                          </w:rPr>
                          <m:t>(i)=</m:t>
                        </m:r>
                        <m:sSub>
                          <m:sSubPr>
                            <m:ctrlPr>
                              <w:rPr>
                                <w:rFonts w:ascii="Cambria Math" w:eastAsia="SimSun" w:hAnsi="Cambria Math"/>
                                <w:i/>
                                <w:iCs/>
                                <w:sz w:val="24"/>
                                <w:szCs w:val="24"/>
                                <w:highlight w:val="yellow"/>
                              </w:rPr>
                            </m:ctrlPr>
                          </m:sSubPr>
                          <m:e>
                            <m:r>
                              <w:rPr>
                                <w:rFonts w:ascii="Cambria Math" w:hAnsi="Cambria Math"/>
                                <w:highlight w:val="yellow"/>
                              </w:rPr>
                              <m:t>δ</m:t>
                            </m:r>
                          </m:e>
                          <m:sub>
                            <m:r>
                              <m:rPr>
                                <m:sty m:val="p"/>
                              </m:rPr>
                              <w:rPr>
                                <w:rFonts w:ascii="Cambria Math" w:hAnsi="Cambria Math"/>
                                <w:highlight w:val="yellow"/>
                              </w:rPr>
                              <m:t>SRS</m:t>
                            </m:r>
                            <m:r>
                              <w:rPr>
                                <w:rFonts w:ascii="Cambria Math" w:hAnsi="Cambria Math"/>
                                <w:highlight w:val="yellow"/>
                              </w:rPr>
                              <m:t>,b,f,c</m:t>
                            </m:r>
                          </m:sub>
                        </m:sSub>
                        <m:r>
                          <w:rPr>
                            <w:rFonts w:ascii="Cambria Math" w:hAnsi="Cambria Math"/>
                            <w:highlight w:val="yellow"/>
                          </w:rPr>
                          <m:t>(i)</m:t>
                        </m:r>
                      </m:oMath>
                      <w:r>
                        <w:rPr>
                          <w:rFonts w:hint="eastAsia"/>
                          <w:highlight w:val="yellow"/>
                        </w:rPr>
                        <w:t xml:space="preserve"> if the UE is not configured for PUSCH transmissions on active UL BWP </w:t>
                      </w:r>
                      <m:oMath>
                        <m:r>
                          <w:rPr>
                            <w:rFonts w:ascii="Cambria Math" w:hAnsi="Cambria Math"/>
                            <w:highlight w:val="yellow"/>
                          </w:rPr>
                          <m:t>b</m:t>
                        </m:r>
                      </m:oMath>
                      <w:r>
                        <w:rPr>
                          <w:rFonts w:hint="eastAsia"/>
                          <w:highlight w:val="yellow"/>
                        </w:rPr>
                        <w:t xml:space="preserve"> of carrier </w:t>
                      </w:r>
                      <m:oMath>
                        <m:r>
                          <w:rPr>
                            <w:rFonts w:ascii="Cambria Math" w:hAnsi="Cambria Math"/>
                            <w:highlight w:val="yellow"/>
                          </w:rPr>
                          <m:t>f</m:t>
                        </m:r>
                      </m:oMath>
                      <w:r>
                        <w:rPr>
                          <w:rFonts w:hint="eastAsia"/>
                          <w:highlight w:val="yellow"/>
                        </w:rPr>
                        <w:t xml:space="preserve"> of serving cell </w:t>
                      </w:r>
                      <m:oMath>
                        <m:r>
                          <w:rPr>
                            <w:rFonts w:ascii="Cambria Math" w:hAnsi="Cambria Math"/>
                            <w:highlight w:val="yellow"/>
                          </w:rPr>
                          <m:t>c</m:t>
                        </m:r>
                      </m:oMath>
                      <w:r>
                        <w:rPr>
                          <w:rFonts w:hint="eastAsia"/>
                          <w:highlight w:val="yellow"/>
                        </w:rPr>
                        <w:t xml:space="preserve">, or if </w:t>
                      </w:r>
                      <w:r>
                        <w:rPr>
                          <w:rFonts w:hint="eastAsia"/>
                          <w:i/>
                          <w:iCs/>
                          <w:highlight w:val="yellow"/>
                        </w:rPr>
                        <w:t>srs-PowerControlAdjustmentStates</w:t>
                      </w:r>
                      <w:r>
                        <w:rPr>
                          <w:rFonts w:hint="eastAsia"/>
                          <w:highlight w:val="yellow"/>
                        </w:rPr>
                        <w:t xml:space="preserve"> indicates separate power control adjustment states between SRS transmissions and PUSCH transmissions, and </w:t>
                      </w:r>
                      <w:r>
                        <w:rPr>
                          <w:rFonts w:hint="eastAsia"/>
                          <w:i/>
                          <w:iCs/>
                          <w:highlight w:val="yellow"/>
                        </w:rPr>
                        <w:t>tpc-Accumulation</w:t>
                      </w:r>
                      <w:r>
                        <w:rPr>
                          <w:rFonts w:hint="eastAsia"/>
                          <w:highlight w:val="yellow"/>
                        </w:rPr>
                        <w:t xml:space="preserve"> is provided, and the UE detects a DCI format 2_3 </w:t>
                      </w:r>
                      <m:oMath>
                        <m:sSub>
                          <m:sSubPr>
                            <m:ctrlPr>
                              <w:rPr>
                                <w:rFonts w:ascii="Cambria Math" w:eastAsia="SimSun" w:hAnsi="Cambria Math"/>
                                <w:i/>
                                <w:iCs/>
                                <w:sz w:val="24"/>
                                <w:szCs w:val="24"/>
                                <w:highlight w:val="yellow"/>
                              </w:rPr>
                            </m:ctrlPr>
                          </m:sSubPr>
                          <m:e>
                            <m:r>
                              <w:rPr>
                                <w:rFonts w:ascii="Cambria Math" w:hAnsi="Cambria Math"/>
                                <w:highlight w:val="yellow"/>
                              </w:rPr>
                              <m:t>K</m:t>
                            </m:r>
                          </m:e>
                          <m:sub>
                            <m:r>
                              <m:rPr>
                                <m:sty m:val="p"/>
                              </m:rPr>
                              <w:rPr>
                                <w:rFonts w:ascii="Cambria Math" w:hAnsi="Cambria Math"/>
                                <w:highlight w:val="yellow"/>
                              </w:rPr>
                              <m:t>SRS,min</m:t>
                            </m:r>
                          </m:sub>
                        </m:sSub>
                      </m:oMath>
                      <w:r>
                        <w:rPr>
                          <w:rFonts w:hint="eastAsia"/>
                          <w:highlight w:val="yellow"/>
                        </w:rPr>
                        <w:t xml:space="preserve"> symbols before a first symbol of SRS transmission occasion </w:t>
                      </w:r>
                      <m:oMath>
                        <m:r>
                          <w:rPr>
                            <w:rFonts w:ascii="Cambria Math" w:hAnsi="Cambria Math"/>
                            <w:highlight w:val="yellow"/>
                          </w:rPr>
                          <m:t>i</m:t>
                        </m:r>
                      </m:oMath>
                      <w:r>
                        <w:rPr>
                          <w:rFonts w:hint="eastAsia"/>
                          <w:highlight w:val="yellow"/>
                        </w:rPr>
                        <w:t>,</w:t>
                      </w:r>
                      <w:r>
                        <w:rPr>
                          <w:rFonts w:hint="eastAsia"/>
                        </w:rPr>
                        <w:t xml:space="preserve"> where absolute values of</w:t>
                      </w:r>
                      <m:oMath>
                        <m:sSub>
                          <m:sSubPr>
                            <m:ctrlPr>
                              <w:rPr>
                                <w:rFonts w:ascii="Cambria Math" w:eastAsia="SimSun" w:hAnsi="Cambria Math"/>
                                <w:i/>
                                <w:iCs/>
                                <w:sz w:val="24"/>
                                <w:szCs w:val="24"/>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Pr>
                          <w:rFonts w:hint="eastAsia"/>
                        </w:rPr>
                        <w:t xml:space="preserve"> are provided in Table 7.1.1-1</w:t>
                      </w:r>
                    </w:p>
                    <w:p w14:paraId="658538E0" w14:textId="77777777" w:rsidR="00B22F19" w:rsidRPr="00A71C0C" w:rsidRDefault="00B22F19" w:rsidP="00A71C0C">
                      <w:r>
                        <w:t>…</w:t>
                      </w:r>
                    </w:p>
                  </w:txbxContent>
                </v:textbox>
                <w10:wrap type="square"/>
              </v:shape>
            </w:pict>
          </mc:Fallback>
        </mc:AlternateContent>
      </w:r>
    </w:p>
    <w:p w14:paraId="16D46A11" w14:textId="77777777" w:rsidR="00B22F19" w:rsidRPr="00FE04C6" w:rsidRDefault="00B22F19" w:rsidP="00B22F19">
      <w:pPr>
        <w:rPr>
          <w:color w:val="000000" w:themeColor="text1"/>
        </w:rPr>
      </w:pPr>
    </w:p>
    <w:p w14:paraId="2B415258" w14:textId="4A170781" w:rsidR="00B22F19" w:rsidRPr="00FE04C6" w:rsidRDefault="00B22F19" w:rsidP="00B22F19">
      <w:pPr>
        <w:rPr>
          <w:color w:val="000000" w:themeColor="text1"/>
        </w:rPr>
      </w:pPr>
      <w:r w:rsidRPr="00FE04C6">
        <w:rPr>
          <w:color w:val="000000" w:themeColor="text1"/>
        </w:rPr>
        <w:t>According to the above text from TS 38.213:</w:t>
      </w:r>
    </w:p>
    <w:p w14:paraId="0400B1DF" w14:textId="7F53D708" w:rsidR="00B22F19" w:rsidRPr="00FE04C6" w:rsidRDefault="00B22F19" w:rsidP="00B22F19">
      <w:pPr>
        <w:pStyle w:val="ListParagraph"/>
        <w:numPr>
          <w:ilvl w:val="0"/>
          <w:numId w:val="49"/>
        </w:numPr>
        <w:spacing w:after="0"/>
        <w:contextualSpacing w:val="0"/>
        <w:rPr>
          <w:color w:val="000000" w:themeColor="text1"/>
        </w:rPr>
      </w:pPr>
      <w:r w:rsidRPr="00FE04C6">
        <w:rPr>
          <w:color w:val="000000" w:themeColor="text1"/>
        </w:rPr>
        <w:t xml:space="preserve">Based on the part in </w:t>
      </w:r>
      <w:r w:rsidRPr="00FE04C6">
        <w:rPr>
          <w:color w:val="000000" w:themeColor="text1"/>
          <w:highlight w:val="yellow"/>
        </w:rPr>
        <w:t>yellow</w:t>
      </w:r>
      <w:r w:rsidRPr="00FE04C6">
        <w:rPr>
          <w:color w:val="000000" w:themeColor="text1"/>
        </w:rPr>
        <w:t xml:space="preserve">, there can only be one independent CLPC loop for SRS as </w:t>
      </w:r>
      <m:oMath>
        <m:r>
          <w:rPr>
            <w:rFonts w:ascii="Cambria Math" w:hAnsi="Cambria Math"/>
            <w:color w:val="000000" w:themeColor="text1"/>
          </w:rPr>
          <m:t>l</m:t>
        </m:r>
      </m:oMath>
      <w:r w:rsidRPr="00FE04C6">
        <w:rPr>
          <w:color w:val="000000" w:themeColor="text1"/>
        </w:rPr>
        <w:t xml:space="preserve"> is not a </w:t>
      </w:r>
      <w:r w:rsidR="006F7B4A">
        <w:rPr>
          <w:color w:val="000000" w:themeColor="text1"/>
        </w:rPr>
        <w:t>parameter in</w:t>
      </w:r>
      <w:r w:rsidRPr="00FE04C6">
        <w:rPr>
          <w:color w:val="000000" w:themeColor="text1"/>
        </w:rPr>
        <w:t xml:space="preserve"> these equations (i.e., when SRS and PUSCH have separate loops). Therefore, the SRS PC adjustment state associated with the UL/Joint TCI state is not used for distinguishing two different SRS power control states.</w:t>
      </w:r>
    </w:p>
    <w:p w14:paraId="29B45875" w14:textId="7F222A07" w:rsidR="00B22F19" w:rsidRPr="00FE04C6" w:rsidRDefault="00B22F19" w:rsidP="00B22F19">
      <w:pPr>
        <w:pStyle w:val="ListParagraph"/>
        <w:numPr>
          <w:ilvl w:val="0"/>
          <w:numId w:val="49"/>
        </w:numPr>
        <w:spacing w:after="0"/>
        <w:contextualSpacing w:val="0"/>
        <w:rPr>
          <w:color w:val="000000" w:themeColor="text1"/>
        </w:rPr>
      </w:pPr>
      <w:r w:rsidRPr="00FE04C6">
        <w:rPr>
          <w:color w:val="000000" w:themeColor="text1"/>
        </w:rPr>
        <w:t xml:space="preserve">If SRS PC follows PUSCH CLPC according to the part in </w:t>
      </w:r>
      <w:r w:rsidRPr="00FE04C6">
        <w:rPr>
          <w:color w:val="000000" w:themeColor="text1"/>
          <w:highlight w:val="cyan"/>
        </w:rPr>
        <w:t>cyan</w:t>
      </w:r>
      <w:r w:rsidRPr="00FE04C6">
        <w:rPr>
          <w:color w:val="000000" w:themeColor="text1"/>
        </w:rPr>
        <w:t>, the SRS can follow either that of PUSCH power control adjustment state 0 (</w:t>
      </w:r>
      <m:oMath>
        <m:r>
          <w:rPr>
            <w:rFonts w:ascii="Cambria Math" w:hAnsi="Cambria Math"/>
            <w:color w:val="000000" w:themeColor="text1"/>
          </w:rPr>
          <m:t>l=0</m:t>
        </m:r>
      </m:oMath>
      <w:r w:rsidRPr="00FE04C6">
        <w:rPr>
          <w:color w:val="000000" w:themeColor="text1"/>
        </w:rPr>
        <w:t>), or PUSCH power control adjustment state 1 (</w:t>
      </w:r>
      <m:oMath>
        <m:r>
          <w:rPr>
            <w:rFonts w:ascii="Cambria Math" w:hAnsi="Cambria Math"/>
            <w:color w:val="000000" w:themeColor="text1"/>
          </w:rPr>
          <m:t>l=1</m:t>
        </m:r>
      </m:oMath>
      <w:r w:rsidRPr="00FE04C6">
        <w:rPr>
          <w:color w:val="000000" w:themeColor="text1"/>
        </w:rPr>
        <w:t>). This based on the SRS power control adjustment state in the TCI state.</w:t>
      </w:r>
    </w:p>
    <w:p w14:paraId="06B24CEF" w14:textId="77777777" w:rsidR="00B22F19" w:rsidRPr="00FE04C6" w:rsidRDefault="00B22F19" w:rsidP="00B22F19">
      <w:pPr>
        <w:rPr>
          <w:color w:val="000000" w:themeColor="text1"/>
        </w:rPr>
      </w:pPr>
    </w:p>
    <w:p w14:paraId="013E2ACB" w14:textId="2AC6947A" w:rsidR="00B22F19" w:rsidRPr="00FE04C6" w:rsidRDefault="00B22F19" w:rsidP="00B22F19">
      <w:pPr>
        <w:rPr>
          <w:color w:val="000000" w:themeColor="text1"/>
        </w:rPr>
      </w:pPr>
      <w:r w:rsidRPr="00FE04C6">
        <w:rPr>
          <w:color w:val="000000" w:themeColor="text1"/>
        </w:rPr>
        <w:t xml:space="preserve">This description seems to aligned with option 2B from </w:t>
      </w:r>
      <w:r w:rsidR="00FE04C6" w:rsidRPr="00FE04C6">
        <w:rPr>
          <w:color w:val="000000" w:themeColor="text1"/>
        </w:rPr>
        <w:fldChar w:fldCharType="begin"/>
      </w:r>
      <w:r w:rsidR="00FE04C6" w:rsidRPr="00FE04C6">
        <w:rPr>
          <w:color w:val="000000" w:themeColor="text1"/>
        </w:rPr>
        <w:instrText xml:space="preserve"> REF _Ref101557947 \r \h  \* MERGEFORMAT </w:instrText>
      </w:r>
      <w:r w:rsidR="00FE04C6" w:rsidRPr="00FE04C6">
        <w:rPr>
          <w:color w:val="000000" w:themeColor="text1"/>
        </w:rPr>
      </w:r>
      <w:r w:rsidR="00FE04C6" w:rsidRPr="00FE04C6">
        <w:rPr>
          <w:color w:val="000000" w:themeColor="text1"/>
        </w:rPr>
        <w:fldChar w:fldCharType="separate"/>
      </w:r>
      <w:r w:rsidR="00FE04C6" w:rsidRPr="00FE04C6">
        <w:rPr>
          <w:color w:val="000000" w:themeColor="text1"/>
        </w:rPr>
        <w:t>[1]</w:t>
      </w:r>
      <w:r w:rsidR="00FE04C6" w:rsidRPr="00FE04C6">
        <w:rPr>
          <w:color w:val="000000" w:themeColor="text1"/>
        </w:rPr>
        <w:fldChar w:fldCharType="end"/>
      </w:r>
      <w:r w:rsidRPr="00FE04C6">
        <w:rPr>
          <w:color w:val="000000" w:themeColor="text1"/>
        </w:rPr>
        <w:t>.</w:t>
      </w:r>
    </w:p>
    <w:p w14:paraId="48FC698A" w14:textId="3805AA0A" w:rsidR="00B22F19" w:rsidRDefault="00B22F19" w:rsidP="00B22F19">
      <w:pPr>
        <w:rPr>
          <w:rFonts w:ascii="Calibri" w:hAnsi="Calibri"/>
          <w:color w:val="1F497D"/>
          <w:sz w:val="22"/>
          <w:szCs w:val="22"/>
        </w:rPr>
      </w:pPr>
    </w:p>
    <w:p w14:paraId="4C590A9D" w14:textId="102718BC" w:rsidR="00FE04C6" w:rsidRPr="00FE04C6" w:rsidRDefault="00FE04C6" w:rsidP="00B22F19">
      <w:pPr>
        <w:rPr>
          <w:color w:val="000000" w:themeColor="text1"/>
          <w:szCs w:val="22"/>
        </w:rPr>
      </w:pPr>
      <w:r w:rsidRPr="00FE04C6">
        <w:rPr>
          <w:b/>
          <w:color w:val="000000" w:themeColor="text1"/>
          <w:szCs w:val="22"/>
        </w:rPr>
        <w:t>Observation 1:</w:t>
      </w:r>
      <w:r w:rsidRPr="00FE04C6">
        <w:rPr>
          <w:color w:val="000000" w:themeColor="text1"/>
          <w:szCs w:val="22"/>
        </w:rPr>
        <w:t xml:space="preserve"> For SRS CLPC, the corresponding </w:t>
      </w:r>
      <w:r>
        <w:rPr>
          <w:color w:val="000000" w:themeColor="text1"/>
          <w:szCs w:val="22"/>
        </w:rPr>
        <w:t xml:space="preserve">text </w:t>
      </w:r>
      <w:r w:rsidRPr="00FE04C6">
        <w:rPr>
          <w:color w:val="000000" w:themeColor="text1"/>
          <w:szCs w:val="22"/>
        </w:rPr>
        <w:t>in clause 7.3.1 of TS 38.213 applies to both Rel-15/16 TCI spatial relation framework as well as the unified TCI framework. No spec change is needed.</w:t>
      </w:r>
    </w:p>
    <w:p w14:paraId="364259A5" w14:textId="77777777" w:rsidR="00B6786F" w:rsidRPr="00B6786F" w:rsidRDefault="00B6786F" w:rsidP="00B6786F">
      <w:pPr>
        <w:rPr>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77357916" w:rsidR="009C0C2D" w:rsidRDefault="009C0C2D" w:rsidP="009C0C2D">
      <w:pPr>
        <w:rPr>
          <w:lang w:eastAsia="ko-KR"/>
        </w:rPr>
      </w:pPr>
      <w:r w:rsidRPr="00EE7300">
        <w:rPr>
          <w:lang w:eastAsia="ko-KR"/>
        </w:rPr>
        <w:t xml:space="preserve">The following </w:t>
      </w:r>
      <w:r w:rsidR="00FE04C6">
        <w:rPr>
          <w:lang w:eastAsia="ko-KR"/>
        </w:rPr>
        <w:t>observation has</w:t>
      </w:r>
      <w:r w:rsidRPr="00EE7300">
        <w:rPr>
          <w:lang w:eastAsia="ko-KR"/>
        </w:rPr>
        <w:t xml:space="preserve"> been </w:t>
      </w:r>
      <w:r>
        <w:rPr>
          <w:lang w:eastAsia="ko-KR"/>
        </w:rPr>
        <w:t xml:space="preserve">made regarding </w:t>
      </w:r>
      <w:r w:rsidR="00FE04C6">
        <w:rPr>
          <w:lang w:eastAsia="ko-KR"/>
        </w:rPr>
        <w:t>SRS CLPC for the unified TCI state framework:</w:t>
      </w:r>
    </w:p>
    <w:p w14:paraId="0B31FA78" w14:textId="0E2BB19B" w:rsidR="00FE04C6" w:rsidRPr="00FE04C6" w:rsidRDefault="00FE04C6" w:rsidP="00FE04C6">
      <w:pPr>
        <w:rPr>
          <w:color w:val="000000" w:themeColor="text1"/>
          <w:szCs w:val="22"/>
        </w:rPr>
      </w:pPr>
      <w:r w:rsidRPr="00FE04C6">
        <w:rPr>
          <w:b/>
          <w:color w:val="000000" w:themeColor="text1"/>
          <w:szCs w:val="22"/>
        </w:rPr>
        <w:t>Observation 1:</w:t>
      </w:r>
      <w:r w:rsidRPr="00FE04C6">
        <w:rPr>
          <w:color w:val="000000" w:themeColor="text1"/>
          <w:szCs w:val="22"/>
        </w:rPr>
        <w:t xml:space="preserve"> For SRS CLPC, the corresponding </w:t>
      </w:r>
      <w:r>
        <w:rPr>
          <w:color w:val="000000" w:themeColor="text1"/>
          <w:szCs w:val="22"/>
        </w:rPr>
        <w:t xml:space="preserve">text </w:t>
      </w:r>
      <w:r w:rsidRPr="00FE04C6">
        <w:rPr>
          <w:color w:val="000000" w:themeColor="text1"/>
          <w:szCs w:val="22"/>
        </w:rPr>
        <w:t>in clause 7.3.1 of TS 38.213 applies to both Rel-15/16 TCI spatial relation framework as well as the unified TCI framework. No spec change is needed.</w:t>
      </w:r>
    </w:p>
    <w:p w14:paraId="59733DBF" w14:textId="77777777" w:rsidR="00FE04C6" w:rsidRDefault="00FE04C6" w:rsidP="009C0C2D">
      <w:pPr>
        <w:rPr>
          <w:lang w:eastAsia="ko-KR"/>
        </w:rPr>
      </w:pPr>
    </w:p>
    <w:p w14:paraId="330061A3" w14:textId="77777777" w:rsidR="001F209A" w:rsidRPr="00B6786F" w:rsidRDefault="001F209A"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2BD5098A" w:rsidR="0028035C" w:rsidRPr="00B22F19" w:rsidRDefault="00C87981" w:rsidP="00C87981">
      <w:pPr>
        <w:pStyle w:val="ListParagraph"/>
        <w:numPr>
          <w:ilvl w:val="0"/>
          <w:numId w:val="16"/>
        </w:numPr>
        <w:spacing w:after="60" w:line="288" w:lineRule="auto"/>
        <w:jc w:val="both"/>
      </w:pPr>
      <w:bookmarkStart w:id="3" w:name="_Ref101557947"/>
      <w:bookmarkStart w:id="4" w:name="_Ref521501348"/>
      <w:bookmarkStart w:id="5" w:name="_Ref30756422"/>
      <w:bookmarkStart w:id="6" w:name="_Ref462779233"/>
      <w:r>
        <w:t>R1</w:t>
      </w:r>
      <w:r w:rsidR="00C547B3">
        <w:t>-</w:t>
      </w:r>
      <w:r>
        <w:t>2210439</w:t>
      </w:r>
      <w:r w:rsidR="00ED74F5">
        <w:t>, “</w:t>
      </w:r>
      <w:r w:rsidRPr="00C87981">
        <w:t>Moderator Summary #1 for Maintenance on Rel-17 Multi-Beam</w:t>
      </w:r>
      <w:r w:rsidR="00ED74F5">
        <w:t xml:space="preserve">”, </w:t>
      </w:r>
      <w:r w:rsidR="00D256EC">
        <w:t>Moderator</w:t>
      </w:r>
      <w:r>
        <w:t xml:space="preserve"> </w:t>
      </w:r>
      <w:r w:rsidR="00D256EC">
        <w:t>(</w:t>
      </w:r>
      <w:r>
        <w:t>ZTE</w:t>
      </w:r>
      <w:r w:rsidR="00D256EC">
        <w:t>)</w:t>
      </w:r>
      <w:r>
        <w:t xml:space="preserve">, </w:t>
      </w:r>
      <w:r w:rsidR="00ED74F5">
        <w:rPr>
          <w:rFonts w:eastAsia="Malgun Gothic"/>
          <w:lang w:eastAsia="ko-KR"/>
        </w:rPr>
        <w:t>3GPP RAN</w:t>
      </w:r>
      <w:r>
        <w:rPr>
          <w:rFonts w:eastAsia="Malgun Gothic"/>
          <w:lang w:eastAsia="ko-KR"/>
        </w:rPr>
        <w:t>1</w:t>
      </w:r>
      <w:r w:rsidR="00ED74F5">
        <w:rPr>
          <w:rFonts w:eastAsia="Malgun Gothic"/>
          <w:lang w:eastAsia="ko-KR"/>
        </w:rPr>
        <w:t>#</w:t>
      </w:r>
      <w:r>
        <w:rPr>
          <w:rFonts w:eastAsia="Malgun Gothic"/>
          <w:lang w:eastAsia="ko-KR"/>
        </w:rPr>
        <w:t>110b-</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October, 2022</w:t>
      </w:r>
      <w:r w:rsidR="00ED74F5">
        <w:rPr>
          <w:rFonts w:eastAsia="Malgun Gothic"/>
          <w:lang w:eastAsia="ko-KR"/>
        </w:rPr>
        <w:t>.</w:t>
      </w:r>
      <w:bookmarkEnd w:id="3"/>
    </w:p>
    <w:p w14:paraId="661FF39E" w14:textId="3D8D61D6" w:rsidR="006743D2" w:rsidRPr="00B22E56" w:rsidRDefault="00B22F19" w:rsidP="00B22E56">
      <w:pPr>
        <w:pStyle w:val="ListParagraph"/>
        <w:numPr>
          <w:ilvl w:val="0"/>
          <w:numId w:val="16"/>
        </w:numPr>
        <w:spacing w:after="60" w:line="288" w:lineRule="auto"/>
        <w:jc w:val="both"/>
      </w:pPr>
      <w:bookmarkStart w:id="7" w:name="_Ref118196095"/>
      <w:r>
        <w:t>TS 38.213, “</w:t>
      </w:r>
      <w:r w:rsidRPr="00B22F19">
        <w:t>Physical layer procedures for contro</w:t>
      </w:r>
      <w:bookmarkStart w:id="8" w:name="_GoBack"/>
      <w:bookmarkEnd w:id="8"/>
      <w:r w:rsidRPr="00B22F19">
        <w:t>l</w:t>
      </w:r>
      <w:r>
        <w:t>”, V17.3.0, September 2022.</w:t>
      </w:r>
      <w:bookmarkEnd w:id="4"/>
      <w:bookmarkEnd w:id="5"/>
      <w:bookmarkEnd w:id="6"/>
      <w:bookmarkEnd w:id="7"/>
    </w:p>
    <w:sectPr w:rsidR="006743D2" w:rsidRPr="00B22E56"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2249B" w14:textId="77777777" w:rsidR="00AD66E1" w:rsidRPr="00C47AD2" w:rsidRDefault="00AD66E1">
      <w:pPr>
        <w:rPr>
          <w:rFonts w:ascii="Arial" w:hAnsi="Arial"/>
          <w:sz w:val="12"/>
        </w:rPr>
      </w:pPr>
      <w:r>
        <w:separator/>
      </w:r>
    </w:p>
  </w:endnote>
  <w:endnote w:type="continuationSeparator" w:id="0">
    <w:p w14:paraId="79500959" w14:textId="77777777" w:rsidR="00AD66E1" w:rsidRPr="00C47AD2" w:rsidRDefault="00AD66E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4500F7" w:rsidRDefault="004500F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4500F7" w:rsidRDefault="004500F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30D4E36" w:rsidR="004500F7" w:rsidRDefault="004500F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7B4A">
      <w:rPr>
        <w:rStyle w:val="PageNumber"/>
      </w:rPr>
      <w:t>2</w:t>
    </w:r>
    <w:r>
      <w:rPr>
        <w:rStyle w:val="PageNumber"/>
      </w:rPr>
      <w:fldChar w:fldCharType="end"/>
    </w:r>
  </w:p>
  <w:p w14:paraId="627E69E3" w14:textId="77777777" w:rsidR="004500F7" w:rsidRDefault="004500F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50D1D" w14:textId="77777777" w:rsidR="00AD66E1" w:rsidRPr="00C47AD2" w:rsidRDefault="00AD66E1">
      <w:pPr>
        <w:rPr>
          <w:rFonts w:ascii="Arial" w:hAnsi="Arial"/>
          <w:sz w:val="12"/>
        </w:rPr>
      </w:pPr>
      <w:r>
        <w:separator/>
      </w:r>
    </w:p>
  </w:footnote>
  <w:footnote w:type="continuationSeparator" w:id="0">
    <w:p w14:paraId="1F5D1C49" w14:textId="77777777" w:rsidR="00AD66E1" w:rsidRPr="00C47AD2" w:rsidRDefault="00AD66E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4500F7" w:rsidRDefault="004500F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14126"/>
    <w:multiLevelType w:val="hybridMultilevel"/>
    <w:tmpl w:val="60AE4A7E"/>
    <w:lvl w:ilvl="0" w:tplc="0F72C97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3"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2CE0"/>
    <w:multiLevelType w:val="hybridMultilevel"/>
    <w:tmpl w:val="4BF427FE"/>
    <w:lvl w:ilvl="0" w:tplc="A61CF6A2">
      <w:start w:val="1"/>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A21E6F"/>
    <w:multiLevelType w:val="hybridMultilevel"/>
    <w:tmpl w:val="47223A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7AC7ED6"/>
    <w:multiLevelType w:val="hybridMultilevel"/>
    <w:tmpl w:val="0C964C16"/>
    <w:lvl w:ilvl="0" w:tplc="5F5842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E107B1"/>
    <w:multiLevelType w:val="hybridMultilevel"/>
    <w:tmpl w:val="BDFE2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8"/>
  </w:num>
  <w:num w:numId="5">
    <w:abstractNumId w:val="28"/>
  </w:num>
  <w:num w:numId="6">
    <w:abstractNumId w:val="45"/>
  </w:num>
  <w:num w:numId="7">
    <w:abstractNumId w:val="29"/>
  </w:num>
  <w:num w:numId="8">
    <w:abstractNumId w:val="24"/>
  </w:num>
  <w:num w:numId="9">
    <w:abstractNumId w:val="43"/>
  </w:num>
  <w:num w:numId="10">
    <w:abstractNumId w:val="8"/>
  </w:num>
  <w:num w:numId="11">
    <w:abstractNumId w:val="11"/>
  </w:num>
  <w:num w:numId="12">
    <w:abstractNumId w:val="4"/>
  </w:num>
  <w:num w:numId="13">
    <w:abstractNumId w:val="44"/>
  </w:num>
  <w:num w:numId="14">
    <w:abstractNumId w:val="33"/>
  </w:num>
  <w:num w:numId="15">
    <w:abstractNumId w:val="37"/>
  </w:num>
  <w:num w:numId="16">
    <w:abstractNumId w:val="34"/>
  </w:num>
  <w:num w:numId="17">
    <w:abstractNumId w:val="22"/>
  </w:num>
  <w:num w:numId="18">
    <w:abstractNumId w:val="38"/>
  </w:num>
  <w:num w:numId="19">
    <w:abstractNumId w:val="32"/>
  </w:num>
  <w:num w:numId="20">
    <w:abstractNumId w:val="40"/>
  </w:num>
  <w:num w:numId="21">
    <w:abstractNumId w:val="35"/>
  </w:num>
  <w:num w:numId="22">
    <w:abstractNumId w:val="15"/>
  </w:num>
  <w:num w:numId="23">
    <w:abstractNumId w:val="39"/>
  </w:num>
  <w:num w:numId="24">
    <w:abstractNumId w:val="25"/>
  </w:num>
  <w:num w:numId="25">
    <w:abstractNumId w:val="19"/>
  </w:num>
  <w:num w:numId="26">
    <w:abstractNumId w:val="41"/>
  </w:num>
  <w:num w:numId="27">
    <w:abstractNumId w:val="36"/>
  </w:num>
  <w:num w:numId="28">
    <w:abstractNumId w:val="46"/>
  </w:num>
  <w:num w:numId="29">
    <w:abstractNumId w:val="3"/>
  </w:num>
  <w:num w:numId="30">
    <w:abstractNumId w:val="13"/>
  </w:num>
  <w:num w:numId="31">
    <w:abstractNumId w:val="11"/>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6"/>
  </w:num>
  <w:num w:numId="35">
    <w:abstractNumId w:val="16"/>
  </w:num>
  <w:num w:numId="36">
    <w:abstractNumId w:val="27"/>
  </w:num>
  <w:num w:numId="37">
    <w:abstractNumId w:val="12"/>
  </w:num>
  <w:num w:numId="38">
    <w:abstractNumId w:val="10"/>
  </w:num>
  <w:num w:numId="39">
    <w:abstractNumId w:val="5"/>
  </w:num>
  <w:num w:numId="40">
    <w:abstractNumId w:val="26"/>
  </w:num>
  <w:num w:numId="41">
    <w:abstractNumId w:val="30"/>
  </w:num>
  <w:num w:numId="42">
    <w:abstractNumId w:val="20"/>
  </w:num>
  <w:num w:numId="43">
    <w:abstractNumId w:val="1"/>
  </w:num>
  <w:num w:numId="44">
    <w:abstractNumId w:val="31"/>
  </w:num>
  <w:num w:numId="45">
    <w:abstractNumId w:val="9"/>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14"/>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C44"/>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0C9"/>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BD2"/>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57C"/>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535"/>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4FA5"/>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2CE"/>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4A"/>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4FE0"/>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6E1"/>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BF"/>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2E56"/>
    <w:rsid w:val="00B22F19"/>
    <w:rsid w:val="00B230F3"/>
    <w:rsid w:val="00B2318E"/>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86F"/>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981"/>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6EC"/>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5DDA"/>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4C6"/>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643780">
      <w:bodyDiv w:val="1"/>
      <w:marLeft w:val="0"/>
      <w:marRight w:val="0"/>
      <w:marTop w:val="0"/>
      <w:marBottom w:val="0"/>
      <w:divBdr>
        <w:top w:val="none" w:sz="0" w:space="0" w:color="auto"/>
        <w:left w:val="none" w:sz="0" w:space="0" w:color="auto"/>
        <w:bottom w:val="none" w:sz="0" w:space="0" w:color="auto"/>
        <w:right w:val="none" w:sz="0" w:space="0" w:color="auto"/>
      </w:divBdr>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14.png@01D8E332.1200C56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4.png@01D8E332.1200C5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A0C2A-88C4-433A-9B43-4628D271D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22</cp:revision>
  <cp:lastPrinted>2010-03-24T01:20:00Z</cp:lastPrinted>
  <dcterms:created xsi:type="dcterms:W3CDTF">2022-08-11T14:01:00Z</dcterms:created>
  <dcterms:modified xsi:type="dcterms:W3CDTF">2022-11-07T03:13:00Z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